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61E" w:rsidRDefault="000F7BD0" w:rsidP="00CD3A4B">
      <w:pPr>
        <w:pStyle w:val="NoSpacing"/>
        <w:jc w:val="center"/>
        <w:rPr>
          <w:b/>
          <w:sz w:val="24"/>
          <w:szCs w:val="24"/>
        </w:rPr>
      </w:pPr>
      <w:r w:rsidRPr="00CD3A4B">
        <w:rPr>
          <w:b/>
          <w:sz w:val="24"/>
          <w:szCs w:val="24"/>
        </w:rPr>
        <w:t>2</w:t>
      </w:r>
      <w:r w:rsidRPr="00CD3A4B">
        <w:rPr>
          <w:b/>
          <w:sz w:val="24"/>
          <w:szCs w:val="24"/>
          <w:vertAlign w:val="superscript"/>
        </w:rPr>
        <w:t>nd</w:t>
      </w:r>
      <w:r w:rsidR="001E2D6D" w:rsidRPr="00CD3A4B">
        <w:rPr>
          <w:b/>
          <w:sz w:val="24"/>
          <w:szCs w:val="24"/>
        </w:rPr>
        <w:t xml:space="preserve"> </w:t>
      </w:r>
      <w:r w:rsidR="0022461E" w:rsidRPr="00CD3A4B">
        <w:rPr>
          <w:b/>
          <w:sz w:val="24"/>
          <w:szCs w:val="24"/>
        </w:rPr>
        <w:t>Annual Microdochium Patch Field Day</w:t>
      </w:r>
    </w:p>
    <w:p w:rsidR="00CD3A4B" w:rsidRPr="00CD3A4B" w:rsidRDefault="00CD3A4B" w:rsidP="00CD3A4B">
      <w:pPr>
        <w:pStyle w:val="NoSpacing"/>
        <w:jc w:val="center"/>
        <w:rPr>
          <w:b/>
          <w:sz w:val="24"/>
          <w:szCs w:val="24"/>
        </w:rPr>
      </w:pPr>
    </w:p>
    <w:p w:rsidR="00320892" w:rsidRPr="00CD3A4B" w:rsidRDefault="002B10BF" w:rsidP="00CD3A4B">
      <w:pPr>
        <w:pStyle w:val="NoSpacing"/>
        <w:jc w:val="center"/>
        <w:rPr>
          <w:sz w:val="24"/>
          <w:szCs w:val="24"/>
        </w:rPr>
      </w:pPr>
      <w:r w:rsidRPr="00CD3A4B">
        <w:rPr>
          <w:sz w:val="24"/>
          <w:szCs w:val="24"/>
        </w:rPr>
        <w:t>February 28, 2017</w:t>
      </w:r>
    </w:p>
    <w:p w:rsidR="00320892" w:rsidRPr="00CD3A4B" w:rsidRDefault="00320892" w:rsidP="00CD3A4B">
      <w:pPr>
        <w:pStyle w:val="NoSpacing"/>
        <w:jc w:val="center"/>
        <w:rPr>
          <w:sz w:val="24"/>
          <w:szCs w:val="24"/>
        </w:rPr>
      </w:pPr>
      <w:r w:rsidRPr="00CD3A4B">
        <w:rPr>
          <w:sz w:val="24"/>
          <w:szCs w:val="24"/>
        </w:rPr>
        <w:t>Lewis-Brown Farm, Corvallis, OR</w:t>
      </w:r>
    </w:p>
    <w:p w:rsidR="001E2D6D" w:rsidRDefault="0002215C" w:rsidP="00CD3A4B">
      <w:pPr>
        <w:pStyle w:val="NoSpacing"/>
        <w:jc w:val="center"/>
        <w:rPr>
          <w:bCs/>
          <w:sz w:val="24"/>
          <w:szCs w:val="24"/>
        </w:rPr>
      </w:pPr>
      <w:r w:rsidRPr="00CD3A4B">
        <w:rPr>
          <w:bCs/>
          <w:sz w:val="24"/>
          <w:szCs w:val="24"/>
        </w:rPr>
        <w:t>33329 Peoria Rd, Corvallis, OR 97333</w:t>
      </w:r>
    </w:p>
    <w:p w:rsidR="00081CDE" w:rsidRPr="00CD3A4B" w:rsidRDefault="00081CDE" w:rsidP="00CD3A4B">
      <w:pPr>
        <w:pStyle w:val="NoSpacing"/>
        <w:jc w:val="center"/>
        <w:rPr>
          <w:bCs/>
          <w:sz w:val="24"/>
          <w:szCs w:val="24"/>
        </w:rPr>
      </w:pPr>
    </w:p>
    <w:p w:rsidR="00560A71" w:rsidRDefault="003A5DC6" w:rsidP="00CD3A4B">
      <w:pPr>
        <w:pStyle w:val="NoSpacing"/>
        <w:jc w:val="center"/>
        <w:rPr>
          <w:rStyle w:val="Hyperlink"/>
          <w:sz w:val="24"/>
          <w:szCs w:val="24"/>
        </w:rPr>
      </w:pPr>
      <w:hyperlink r:id="rId7" w:history="1">
        <w:r w:rsidR="00320892" w:rsidRPr="00CD3A4B">
          <w:rPr>
            <w:rStyle w:val="Hyperlink"/>
            <w:sz w:val="24"/>
            <w:szCs w:val="24"/>
          </w:rPr>
          <w:t>Alec.Kowalewski@oregonstate.edu</w:t>
        </w:r>
      </w:hyperlink>
    </w:p>
    <w:p w:rsidR="00081CDE" w:rsidRDefault="003A5DC6" w:rsidP="00CD3A4B">
      <w:pPr>
        <w:pStyle w:val="NoSpacing"/>
        <w:jc w:val="center"/>
        <w:rPr>
          <w:rStyle w:val="Hyperlink"/>
          <w:sz w:val="24"/>
          <w:szCs w:val="24"/>
        </w:rPr>
      </w:pPr>
      <w:hyperlink r:id="rId8" w:history="1">
        <w:r w:rsidR="00081CDE" w:rsidRPr="00785D51">
          <w:rPr>
            <w:rStyle w:val="Hyperlink"/>
            <w:sz w:val="24"/>
            <w:szCs w:val="24"/>
          </w:rPr>
          <w:t>Brian.McDonald@oregonstate.edu</w:t>
        </w:r>
      </w:hyperlink>
    </w:p>
    <w:p w:rsidR="00081CDE" w:rsidRPr="00CD3A4B" w:rsidRDefault="00081CDE" w:rsidP="00CD3A4B">
      <w:pPr>
        <w:pStyle w:val="NoSpacing"/>
        <w:jc w:val="center"/>
        <w:rPr>
          <w:sz w:val="24"/>
          <w:szCs w:val="24"/>
        </w:rPr>
      </w:pPr>
    </w:p>
    <w:p w:rsidR="00E53CA4" w:rsidRPr="00CD3A4B" w:rsidRDefault="00E53CA4" w:rsidP="00E53CA4">
      <w:pPr>
        <w:pStyle w:val="NoSpacing"/>
        <w:rPr>
          <w:sz w:val="24"/>
          <w:szCs w:val="24"/>
        </w:rPr>
      </w:pPr>
    </w:p>
    <w:p w:rsidR="00CD3A4B" w:rsidRPr="00CA7BC1" w:rsidRDefault="0022461E" w:rsidP="00994F2A">
      <w:pPr>
        <w:pStyle w:val="NoSpacing"/>
        <w:rPr>
          <w:sz w:val="24"/>
          <w:szCs w:val="24"/>
        </w:rPr>
      </w:pPr>
      <w:r w:rsidRPr="00CA7BC1">
        <w:rPr>
          <w:sz w:val="24"/>
          <w:szCs w:val="24"/>
        </w:rPr>
        <w:t xml:space="preserve">3:00 </w:t>
      </w:r>
      <w:r w:rsidR="00E53CA4" w:rsidRPr="00CA7BC1">
        <w:rPr>
          <w:sz w:val="24"/>
          <w:szCs w:val="24"/>
        </w:rPr>
        <w:t xml:space="preserve">to </w:t>
      </w:r>
      <w:r w:rsidR="002B10BF" w:rsidRPr="00CA7BC1">
        <w:rPr>
          <w:sz w:val="24"/>
          <w:szCs w:val="24"/>
        </w:rPr>
        <w:t>4:50 – Microdochium patch Research Update</w:t>
      </w:r>
    </w:p>
    <w:p w:rsidR="00CD3A4B" w:rsidRPr="00CA7BC1" w:rsidRDefault="00CD3A4B" w:rsidP="00CA7BC1">
      <w:pPr>
        <w:pStyle w:val="NoSpacing"/>
        <w:numPr>
          <w:ilvl w:val="0"/>
          <w:numId w:val="5"/>
        </w:numPr>
        <w:rPr>
          <w:sz w:val="24"/>
          <w:szCs w:val="24"/>
        </w:rPr>
      </w:pPr>
      <w:r w:rsidRPr="00CA7BC1">
        <w:rPr>
          <w:sz w:val="24"/>
          <w:szCs w:val="24"/>
        </w:rPr>
        <w:t>Clint Mattox – Fungicide Al</w:t>
      </w:r>
      <w:r w:rsidR="00081CDE" w:rsidRPr="00CA7BC1">
        <w:rPr>
          <w:sz w:val="24"/>
          <w:szCs w:val="24"/>
        </w:rPr>
        <w:t>ternatives (Phosphite,</w:t>
      </w:r>
      <w:r w:rsidRPr="00CA7BC1">
        <w:rPr>
          <w:sz w:val="24"/>
          <w:szCs w:val="24"/>
        </w:rPr>
        <w:t xml:space="preserve"> Sulfur</w:t>
      </w:r>
      <w:r w:rsidR="00081CDE" w:rsidRPr="00CA7BC1">
        <w:rPr>
          <w:sz w:val="24"/>
          <w:szCs w:val="24"/>
        </w:rPr>
        <w:t xml:space="preserve">, </w:t>
      </w:r>
      <w:r w:rsidRPr="00CA7BC1">
        <w:rPr>
          <w:sz w:val="24"/>
          <w:szCs w:val="24"/>
        </w:rPr>
        <w:t>Iron Sulfate</w:t>
      </w:r>
      <w:r w:rsidR="00081CDE" w:rsidRPr="00CA7BC1">
        <w:rPr>
          <w:sz w:val="24"/>
          <w:szCs w:val="24"/>
        </w:rPr>
        <w:t xml:space="preserve"> and Crop Oil</w:t>
      </w:r>
      <w:r w:rsidRPr="00CA7BC1">
        <w:rPr>
          <w:sz w:val="24"/>
          <w:szCs w:val="24"/>
        </w:rPr>
        <w:t>)</w:t>
      </w:r>
    </w:p>
    <w:p w:rsidR="00CD3A4B" w:rsidRPr="00CA7BC1" w:rsidRDefault="00081CDE" w:rsidP="00CA7BC1">
      <w:pPr>
        <w:pStyle w:val="NoSpacing"/>
        <w:numPr>
          <w:ilvl w:val="0"/>
          <w:numId w:val="5"/>
        </w:numPr>
        <w:rPr>
          <w:sz w:val="24"/>
          <w:szCs w:val="24"/>
        </w:rPr>
      </w:pPr>
      <w:r w:rsidRPr="00CA7BC1">
        <w:rPr>
          <w:sz w:val="24"/>
          <w:szCs w:val="24"/>
        </w:rPr>
        <w:t xml:space="preserve">Conner Olsen – Effects of Greywater on Perennial Ryegrass Cultivars </w:t>
      </w:r>
    </w:p>
    <w:p w:rsidR="00CD3A4B" w:rsidRPr="00CA7BC1" w:rsidRDefault="00CD3A4B" w:rsidP="00CA7BC1">
      <w:pPr>
        <w:pStyle w:val="NoSpacing"/>
        <w:numPr>
          <w:ilvl w:val="0"/>
          <w:numId w:val="5"/>
        </w:numPr>
        <w:rPr>
          <w:sz w:val="24"/>
          <w:szCs w:val="24"/>
        </w:rPr>
      </w:pPr>
      <w:r w:rsidRPr="00CA7BC1">
        <w:rPr>
          <w:sz w:val="24"/>
          <w:szCs w:val="24"/>
        </w:rPr>
        <w:t>Micah Gould – Low Maintenance Landscapes</w:t>
      </w:r>
      <w:r w:rsidR="00081CDE" w:rsidRPr="00CA7BC1">
        <w:rPr>
          <w:sz w:val="24"/>
          <w:szCs w:val="24"/>
        </w:rPr>
        <w:t xml:space="preserve"> for Oregon Public Schools </w:t>
      </w:r>
    </w:p>
    <w:p w:rsidR="00CD3A4B" w:rsidRPr="00CA7BC1" w:rsidRDefault="00CD3A4B" w:rsidP="00CA7BC1">
      <w:pPr>
        <w:pStyle w:val="NoSpacing"/>
        <w:rPr>
          <w:sz w:val="24"/>
          <w:szCs w:val="24"/>
        </w:rPr>
      </w:pPr>
    </w:p>
    <w:p w:rsidR="00CD3A4B" w:rsidRPr="00CA7BC1" w:rsidRDefault="001E2D6D" w:rsidP="00CA7BC1">
      <w:pPr>
        <w:pStyle w:val="NoSpacing"/>
        <w:rPr>
          <w:sz w:val="24"/>
          <w:szCs w:val="24"/>
        </w:rPr>
      </w:pPr>
      <w:r w:rsidRPr="00CA7BC1">
        <w:rPr>
          <w:sz w:val="24"/>
          <w:szCs w:val="24"/>
        </w:rPr>
        <w:t xml:space="preserve">5:00 to 5:50 pm – Dinner </w:t>
      </w:r>
      <w:r w:rsidR="002B10BF" w:rsidRPr="00CA7BC1">
        <w:rPr>
          <w:sz w:val="24"/>
          <w:szCs w:val="24"/>
        </w:rPr>
        <w:t xml:space="preserve">and Guest </w:t>
      </w:r>
      <w:r w:rsidR="00F6788B" w:rsidRPr="00CA7BC1">
        <w:rPr>
          <w:sz w:val="24"/>
          <w:szCs w:val="24"/>
        </w:rPr>
        <w:t xml:space="preserve">Lecture </w:t>
      </w:r>
      <w:r w:rsidR="002B10BF" w:rsidRPr="00CA7BC1">
        <w:rPr>
          <w:sz w:val="24"/>
          <w:szCs w:val="24"/>
        </w:rPr>
        <w:t xml:space="preserve">at </w:t>
      </w:r>
      <w:r w:rsidR="00CD3A4B" w:rsidRPr="00CA7BC1">
        <w:rPr>
          <w:sz w:val="24"/>
          <w:szCs w:val="24"/>
        </w:rPr>
        <w:t>House of Brews</w:t>
      </w:r>
      <w:r w:rsidR="00CA7BC1">
        <w:rPr>
          <w:sz w:val="24"/>
          <w:szCs w:val="24"/>
        </w:rPr>
        <w:t xml:space="preserve">, Corvallis, OR </w:t>
      </w:r>
    </w:p>
    <w:p w:rsidR="00CD3A4B" w:rsidRPr="00CA7BC1" w:rsidRDefault="00CD3A4B" w:rsidP="00CA7BC1">
      <w:pPr>
        <w:pStyle w:val="NoSpacing"/>
        <w:rPr>
          <w:sz w:val="24"/>
          <w:szCs w:val="24"/>
        </w:rPr>
      </w:pPr>
    </w:p>
    <w:p w:rsidR="00CD3A4B" w:rsidRDefault="00CA7BC1" w:rsidP="00CA7BC1">
      <w:pPr>
        <w:pStyle w:val="NoSpacing"/>
        <w:rPr>
          <w:sz w:val="24"/>
          <w:szCs w:val="24"/>
        </w:rPr>
      </w:pPr>
      <w:r>
        <w:rPr>
          <w:sz w:val="24"/>
          <w:szCs w:val="24"/>
        </w:rPr>
        <w:t>______________________________________________________________________________</w:t>
      </w:r>
    </w:p>
    <w:p w:rsidR="00CA7BC1" w:rsidRPr="00CA7BC1" w:rsidRDefault="00CA7BC1" w:rsidP="00CA7BC1">
      <w:pPr>
        <w:pStyle w:val="NoSpacing"/>
        <w:rPr>
          <w:sz w:val="24"/>
          <w:szCs w:val="24"/>
        </w:rPr>
      </w:pPr>
    </w:p>
    <w:p w:rsidR="00CD3A4B" w:rsidRDefault="00CA7BC1" w:rsidP="00CA7BC1">
      <w:pPr>
        <w:pStyle w:val="NoSpacing"/>
        <w:rPr>
          <w:sz w:val="24"/>
          <w:szCs w:val="24"/>
        </w:rPr>
      </w:pPr>
      <w:r w:rsidRPr="00CA7BC1">
        <w:rPr>
          <w:sz w:val="24"/>
          <w:szCs w:val="24"/>
        </w:rPr>
        <w:t xml:space="preserve">Treatments Lists and </w:t>
      </w:r>
      <w:r w:rsidR="00CD3A4B" w:rsidRPr="00CA7BC1">
        <w:rPr>
          <w:sz w:val="24"/>
          <w:szCs w:val="24"/>
        </w:rPr>
        <w:t xml:space="preserve">Plot Maps: </w:t>
      </w:r>
      <w:r w:rsidR="00994F2A">
        <w:rPr>
          <w:sz w:val="24"/>
          <w:szCs w:val="24"/>
        </w:rPr>
        <w:t>Page 2 to 7</w:t>
      </w:r>
      <w:r w:rsidRPr="00CA7BC1">
        <w:rPr>
          <w:sz w:val="24"/>
          <w:szCs w:val="24"/>
        </w:rPr>
        <w:t xml:space="preserve"> </w:t>
      </w:r>
    </w:p>
    <w:p w:rsidR="00994F2A" w:rsidRDefault="00994F2A" w:rsidP="00994F2A">
      <w:pPr>
        <w:pStyle w:val="NoSpacing"/>
        <w:numPr>
          <w:ilvl w:val="0"/>
          <w:numId w:val="7"/>
        </w:numPr>
        <w:rPr>
          <w:sz w:val="24"/>
          <w:szCs w:val="24"/>
        </w:rPr>
      </w:pPr>
      <w:r>
        <w:rPr>
          <w:sz w:val="24"/>
          <w:szCs w:val="24"/>
        </w:rPr>
        <w:t xml:space="preserve">Stop 1: </w:t>
      </w:r>
      <w:r w:rsidRPr="00994F2A">
        <w:rPr>
          <w:sz w:val="24"/>
          <w:szCs w:val="24"/>
        </w:rPr>
        <w:t>Fungicide Alternatives (Phosphite, Sulfur, Iron Sulfate and Crop Oil)</w:t>
      </w:r>
      <w:r>
        <w:rPr>
          <w:sz w:val="24"/>
          <w:szCs w:val="24"/>
        </w:rPr>
        <w:t xml:space="preserve">: Page 2 to 4 </w:t>
      </w:r>
    </w:p>
    <w:p w:rsidR="00994F2A" w:rsidRDefault="00994F2A" w:rsidP="00994F2A">
      <w:pPr>
        <w:pStyle w:val="ListParagraph"/>
        <w:numPr>
          <w:ilvl w:val="0"/>
          <w:numId w:val="7"/>
        </w:numPr>
        <w:rPr>
          <w:sz w:val="24"/>
          <w:szCs w:val="24"/>
        </w:rPr>
      </w:pPr>
      <w:r>
        <w:rPr>
          <w:sz w:val="24"/>
          <w:szCs w:val="24"/>
        </w:rPr>
        <w:t xml:space="preserve">Stop 2: </w:t>
      </w:r>
      <w:r w:rsidRPr="00994F2A">
        <w:rPr>
          <w:sz w:val="24"/>
          <w:szCs w:val="24"/>
        </w:rPr>
        <w:t xml:space="preserve">Effects of Greywater </w:t>
      </w:r>
      <w:r>
        <w:rPr>
          <w:sz w:val="24"/>
          <w:szCs w:val="24"/>
        </w:rPr>
        <w:t>on Perennial Ryegrass Cultivars: Page 5 and 6</w:t>
      </w:r>
    </w:p>
    <w:p w:rsidR="00994F2A" w:rsidRPr="00994F2A" w:rsidRDefault="00994F2A" w:rsidP="00994F2A">
      <w:pPr>
        <w:pStyle w:val="ListParagraph"/>
        <w:numPr>
          <w:ilvl w:val="0"/>
          <w:numId w:val="7"/>
        </w:numPr>
        <w:rPr>
          <w:sz w:val="24"/>
          <w:szCs w:val="24"/>
        </w:rPr>
      </w:pPr>
      <w:r>
        <w:rPr>
          <w:sz w:val="24"/>
          <w:szCs w:val="24"/>
        </w:rPr>
        <w:t xml:space="preserve">Stop 3: </w:t>
      </w:r>
      <w:r w:rsidRPr="00994F2A">
        <w:rPr>
          <w:sz w:val="24"/>
          <w:szCs w:val="24"/>
        </w:rPr>
        <w:t>Low Maintenance Landscapes</w:t>
      </w:r>
      <w:r>
        <w:rPr>
          <w:sz w:val="24"/>
          <w:szCs w:val="24"/>
        </w:rPr>
        <w:t xml:space="preserve"> for Oregon Public Schools: Page 7</w:t>
      </w:r>
    </w:p>
    <w:p w:rsidR="0055117D" w:rsidRPr="00CA7BC1" w:rsidRDefault="00CD3A4B" w:rsidP="00CA7BC1">
      <w:pPr>
        <w:pStyle w:val="NoSpacing"/>
        <w:rPr>
          <w:sz w:val="24"/>
          <w:szCs w:val="24"/>
        </w:rPr>
      </w:pPr>
      <w:r w:rsidRPr="00CA7BC1">
        <w:rPr>
          <w:sz w:val="24"/>
          <w:szCs w:val="24"/>
        </w:rPr>
        <w:t xml:space="preserve">Handouts: </w:t>
      </w:r>
      <w:r w:rsidR="00994F2A">
        <w:rPr>
          <w:sz w:val="24"/>
          <w:szCs w:val="24"/>
        </w:rPr>
        <w:t>Page 8 to 13</w:t>
      </w:r>
      <w:r w:rsidR="00CA7BC1" w:rsidRPr="00CA7BC1">
        <w:rPr>
          <w:sz w:val="24"/>
          <w:szCs w:val="24"/>
        </w:rPr>
        <w:t xml:space="preserve"> </w:t>
      </w:r>
    </w:p>
    <w:p w:rsidR="00CC5A38" w:rsidRPr="00CA7BC1" w:rsidRDefault="00CC5A38" w:rsidP="00CA7BC1">
      <w:pPr>
        <w:pStyle w:val="NoSpacing"/>
        <w:rPr>
          <w:sz w:val="24"/>
          <w:szCs w:val="24"/>
        </w:rPr>
      </w:pPr>
      <w:r w:rsidRPr="00CA7BC1">
        <w:rPr>
          <w:sz w:val="24"/>
          <w:szCs w:val="24"/>
        </w:rPr>
        <w:t xml:space="preserve">Turf Technician Report: </w:t>
      </w:r>
      <w:r w:rsidR="00994F2A">
        <w:rPr>
          <w:sz w:val="24"/>
          <w:szCs w:val="24"/>
        </w:rPr>
        <w:t>Page 14 and 15</w:t>
      </w:r>
      <w:r w:rsidR="00CA7BC1" w:rsidRPr="00CA7BC1">
        <w:rPr>
          <w:sz w:val="24"/>
          <w:szCs w:val="24"/>
        </w:rPr>
        <w:t xml:space="preserve"> </w:t>
      </w:r>
      <w:bookmarkStart w:id="0" w:name="_GoBack"/>
      <w:bookmarkEnd w:id="0"/>
    </w:p>
    <w:p w:rsidR="0055117D" w:rsidRDefault="0055117D">
      <w:pPr>
        <w:rPr>
          <w:sz w:val="24"/>
          <w:szCs w:val="24"/>
        </w:rPr>
      </w:pPr>
      <w:r>
        <w:rPr>
          <w:sz w:val="24"/>
          <w:szCs w:val="24"/>
        </w:rPr>
        <w:br w:type="page"/>
      </w:r>
    </w:p>
    <w:p w:rsidR="00081CDE" w:rsidRDefault="0055117D" w:rsidP="00081CDE">
      <w:pPr>
        <w:jc w:val="center"/>
        <w:rPr>
          <w:sz w:val="24"/>
          <w:szCs w:val="24"/>
        </w:rPr>
      </w:pPr>
      <w:r w:rsidRPr="0055117D">
        <w:rPr>
          <w:b/>
          <w:sz w:val="24"/>
          <w:szCs w:val="24"/>
        </w:rPr>
        <w:lastRenderedPageBreak/>
        <w:t>Stop 1:</w:t>
      </w:r>
      <w:r w:rsidRPr="0055117D">
        <w:rPr>
          <w:sz w:val="24"/>
          <w:szCs w:val="24"/>
        </w:rPr>
        <w:t xml:space="preserve"> Clint Mattox </w:t>
      </w:r>
      <w:r w:rsidR="00081CDE">
        <w:rPr>
          <w:sz w:val="24"/>
          <w:szCs w:val="24"/>
        </w:rPr>
        <w:t>–</w:t>
      </w:r>
      <w:r>
        <w:rPr>
          <w:sz w:val="24"/>
          <w:szCs w:val="24"/>
        </w:rPr>
        <w:t xml:space="preserve"> </w:t>
      </w:r>
      <w:r w:rsidR="00081CDE" w:rsidRPr="00081CDE">
        <w:rPr>
          <w:sz w:val="24"/>
          <w:szCs w:val="24"/>
        </w:rPr>
        <w:t>Fungicide Alternatives (Phosphite, Sulfur, Iron Sulfate and Crop Oil)</w:t>
      </w:r>
    </w:p>
    <w:p w:rsidR="00081CDE" w:rsidRDefault="00081CDE">
      <w:pPr>
        <w:rPr>
          <w:sz w:val="24"/>
          <w:szCs w:val="24"/>
        </w:rPr>
      </w:pPr>
      <w:r w:rsidRPr="00081CDE">
        <w:rPr>
          <w:noProof/>
        </w:rPr>
        <w:drawing>
          <wp:anchor distT="0" distB="0" distL="114300" distR="114300" simplePos="0" relativeHeight="251661312" behindDoc="1" locked="0" layoutInCell="1" allowOverlap="1" wp14:anchorId="318525BE" wp14:editId="5C05B241">
            <wp:simplePos x="0" y="0"/>
            <wp:positionH relativeFrom="column">
              <wp:posOffset>-1308735</wp:posOffset>
            </wp:positionH>
            <wp:positionV relativeFrom="paragraph">
              <wp:posOffset>1753235</wp:posOffset>
            </wp:positionV>
            <wp:extent cx="8398175" cy="4689475"/>
            <wp:effectExtent l="63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8398175" cy="468947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br w:type="page"/>
      </w:r>
      <w:r w:rsidRPr="0055117D">
        <w:rPr>
          <w:b/>
          <w:sz w:val="24"/>
          <w:szCs w:val="24"/>
        </w:rPr>
        <w:lastRenderedPageBreak/>
        <w:t>Stop 1:</w:t>
      </w:r>
      <w:r w:rsidRPr="0055117D">
        <w:rPr>
          <w:sz w:val="24"/>
          <w:szCs w:val="24"/>
        </w:rPr>
        <w:t xml:space="preserve"> Clint Mattox </w:t>
      </w:r>
      <w:r>
        <w:rPr>
          <w:sz w:val="24"/>
          <w:szCs w:val="24"/>
        </w:rPr>
        <w:t xml:space="preserve">– </w:t>
      </w:r>
      <w:r w:rsidRPr="00081CDE">
        <w:rPr>
          <w:sz w:val="24"/>
          <w:szCs w:val="24"/>
        </w:rPr>
        <w:t>Fungicide Alternatives (Phosphite, Sulfur, Iron Sulfate and Crop Oil)</w:t>
      </w:r>
    </w:p>
    <w:p w:rsidR="00CD3A4B" w:rsidRDefault="00081CDE" w:rsidP="00081CDE">
      <w:pPr>
        <w:jc w:val="center"/>
        <w:rPr>
          <w:sz w:val="24"/>
          <w:szCs w:val="24"/>
        </w:rPr>
      </w:pPr>
      <w:r w:rsidRPr="00081CDE">
        <w:rPr>
          <w:noProof/>
        </w:rPr>
        <w:drawing>
          <wp:inline distT="0" distB="0" distL="0" distR="0" wp14:anchorId="0703CA2E" wp14:editId="1C71A344">
            <wp:extent cx="7515421" cy="4915535"/>
            <wp:effectExtent l="444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7523349" cy="4920721"/>
                    </a:xfrm>
                    <a:prstGeom prst="rect">
                      <a:avLst/>
                    </a:prstGeom>
                  </pic:spPr>
                </pic:pic>
              </a:graphicData>
            </a:graphic>
          </wp:inline>
        </w:drawing>
      </w:r>
      <w:r w:rsidR="00CD3A4B">
        <w:rPr>
          <w:sz w:val="24"/>
          <w:szCs w:val="24"/>
        </w:rPr>
        <w:br w:type="page"/>
      </w:r>
    </w:p>
    <w:p w:rsidR="00081CDE" w:rsidRDefault="00081CDE" w:rsidP="00081CDE">
      <w:pPr>
        <w:rPr>
          <w:sz w:val="24"/>
          <w:szCs w:val="24"/>
        </w:rPr>
      </w:pPr>
      <w:r w:rsidRPr="0055117D">
        <w:rPr>
          <w:b/>
          <w:sz w:val="24"/>
          <w:szCs w:val="24"/>
        </w:rPr>
        <w:lastRenderedPageBreak/>
        <w:t>Stop 1:</w:t>
      </w:r>
      <w:r w:rsidRPr="0055117D">
        <w:rPr>
          <w:sz w:val="24"/>
          <w:szCs w:val="24"/>
        </w:rPr>
        <w:t xml:space="preserve"> Clint Mattox </w:t>
      </w:r>
      <w:r>
        <w:rPr>
          <w:sz w:val="24"/>
          <w:szCs w:val="24"/>
        </w:rPr>
        <w:t xml:space="preserve">– </w:t>
      </w:r>
      <w:r w:rsidRPr="00081CDE">
        <w:rPr>
          <w:sz w:val="24"/>
          <w:szCs w:val="24"/>
        </w:rPr>
        <w:t>Fungicide Alternatives (Phosphite, Sulfur, Iron Sulfate and Crop Oil)</w:t>
      </w:r>
    </w:p>
    <w:p w:rsidR="00081CDE" w:rsidRDefault="00081CDE" w:rsidP="00081CDE">
      <w:pPr>
        <w:jc w:val="center"/>
        <w:rPr>
          <w:b/>
          <w:sz w:val="24"/>
          <w:szCs w:val="24"/>
        </w:rPr>
      </w:pPr>
      <w:r w:rsidRPr="00081CDE">
        <w:rPr>
          <w:noProof/>
        </w:rPr>
        <w:drawing>
          <wp:inline distT="0" distB="0" distL="0" distR="0" wp14:anchorId="6D9B429F" wp14:editId="49B8C940">
            <wp:extent cx="5295900" cy="508089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1818" cy="5086573"/>
                    </a:xfrm>
                    <a:prstGeom prst="rect">
                      <a:avLst/>
                    </a:prstGeom>
                  </pic:spPr>
                </pic:pic>
              </a:graphicData>
            </a:graphic>
          </wp:inline>
        </w:drawing>
      </w:r>
    </w:p>
    <w:p w:rsidR="00081CDE" w:rsidRDefault="00081CDE">
      <w:pPr>
        <w:rPr>
          <w:b/>
          <w:sz w:val="24"/>
          <w:szCs w:val="24"/>
        </w:rPr>
      </w:pPr>
    </w:p>
    <w:p w:rsidR="00081CDE" w:rsidRDefault="00081CDE">
      <w:pPr>
        <w:rPr>
          <w:b/>
          <w:sz w:val="24"/>
          <w:szCs w:val="24"/>
        </w:rPr>
      </w:pPr>
      <w:r>
        <w:rPr>
          <w:b/>
          <w:sz w:val="24"/>
          <w:szCs w:val="24"/>
        </w:rPr>
        <w:br w:type="page"/>
      </w:r>
    </w:p>
    <w:p w:rsidR="00CD3A4B" w:rsidRDefault="00081CDE" w:rsidP="00081CDE">
      <w:pPr>
        <w:rPr>
          <w:sz w:val="24"/>
          <w:szCs w:val="24"/>
        </w:rPr>
      </w:pPr>
      <w:r w:rsidRPr="00BC11E0">
        <w:rPr>
          <w:noProof/>
          <w:sz w:val="24"/>
          <w:szCs w:val="24"/>
        </w:rPr>
        <w:lastRenderedPageBreak/>
        <w:drawing>
          <wp:anchor distT="0" distB="0" distL="114300" distR="114300" simplePos="0" relativeHeight="251658240" behindDoc="1" locked="0" layoutInCell="1" allowOverlap="1" wp14:anchorId="5E00B309" wp14:editId="5BE153BC">
            <wp:simplePos x="0" y="0"/>
            <wp:positionH relativeFrom="column">
              <wp:posOffset>0</wp:posOffset>
            </wp:positionH>
            <wp:positionV relativeFrom="paragraph">
              <wp:posOffset>35560</wp:posOffset>
            </wp:positionV>
            <wp:extent cx="5943600" cy="69037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903720"/>
                    </a:xfrm>
                    <a:prstGeom prst="rect">
                      <a:avLst/>
                    </a:prstGeom>
                    <a:noFill/>
                    <a:ln>
                      <a:noFill/>
                    </a:ln>
                  </pic:spPr>
                </pic:pic>
              </a:graphicData>
            </a:graphic>
          </wp:anchor>
        </w:drawing>
      </w:r>
      <w:r w:rsidR="00BC11E0" w:rsidRPr="00BC11E0">
        <w:rPr>
          <w:b/>
          <w:sz w:val="24"/>
          <w:szCs w:val="24"/>
        </w:rPr>
        <w:t xml:space="preserve">Stop 2: </w:t>
      </w:r>
      <w:r w:rsidR="00BC11E0">
        <w:rPr>
          <w:sz w:val="24"/>
          <w:szCs w:val="24"/>
        </w:rPr>
        <w:t xml:space="preserve">Conner Olsen - Effects of Greywater on </w:t>
      </w:r>
      <w:r>
        <w:rPr>
          <w:sz w:val="24"/>
          <w:szCs w:val="24"/>
        </w:rPr>
        <w:t>P</w:t>
      </w:r>
      <w:r w:rsidR="00BC11E0">
        <w:rPr>
          <w:sz w:val="24"/>
          <w:szCs w:val="24"/>
        </w:rPr>
        <w:t>eren</w:t>
      </w:r>
      <w:r>
        <w:rPr>
          <w:sz w:val="24"/>
          <w:szCs w:val="24"/>
        </w:rPr>
        <w:t>nial Ryegrass C</w:t>
      </w:r>
      <w:r w:rsidR="00BC11E0">
        <w:rPr>
          <w:sz w:val="24"/>
          <w:szCs w:val="24"/>
        </w:rPr>
        <w:t xml:space="preserve">ultivars.  </w:t>
      </w:r>
    </w:p>
    <w:p w:rsidR="00BC11E0" w:rsidRDefault="00BC11E0" w:rsidP="00E53CA4">
      <w:pPr>
        <w:pStyle w:val="NoSpacing"/>
        <w:rPr>
          <w:noProof/>
          <w:sz w:val="24"/>
          <w:szCs w:val="24"/>
        </w:rPr>
      </w:pPr>
    </w:p>
    <w:p w:rsidR="00BC11E0" w:rsidRDefault="00BC11E0" w:rsidP="00E53CA4">
      <w:pPr>
        <w:pStyle w:val="NoSpacing"/>
        <w:rPr>
          <w:noProof/>
          <w:sz w:val="24"/>
          <w:szCs w:val="24"/>
        </w:rPr>
      </w:pPr>
    </w:p>
    <w:p w:rsidR="00CD3A4B" w:rsidRDefault="00CD3A4B" w:rsidP="00E53CA4">
      <w:pPr>
        <w:pStyle w:val="NoSpacing"/>
        <w:rPr>
          <w:sz w:val="24"/>
          <w:szCs w:val="24"/>
        </w:rPr>
      </w:pPr>
    </w:p>
    <w:p w:rsidR="00CD3A4B" w:rsidRDefault="00CD3A4B">
      <w:pPr>
        <w:rPr>
          <w:sz w:val="24"/>
          <w:szCs w:val="24"/>
        </w:rPr>
      </w:pPr>
      <w:r>
        <w:rPr>
          <w:sz w:val="24"/>
          <w:szCs w:val="24"/>
        </w:rPr>
        <w:br w:type="page"/>
      </w:r>
    </w:p>
    <w:p w:rsidR="00BC11E0" w:rsidRDefault="00BC11E0" w:rsidP="00BC11E0">
      <w:pPr>
        <w:rPr>
          <w:sz w:val="24"/>
          <w:szCs w:val="24"/>
        </w:rPr>
      </w:pPr>
      <w:r w:rsidRPr="00BC11E0">
        <w:rPr>
          <w:b/>
          <w:sz w:val="24"/>
          <w:szCs w:val="24"/>
        </w:rPr>
        <w:lastRenderedPageBreak/>
        <w:t xml:space="preserve">Stop 2: </w:t>
      </w:r>
      <w:r>
        <w:rPr>
          <w:sz w:val="24"/>
          <w:szCs w:val="24"/>
        </w:rPr>
        <w:t xml:space="preserve">Conner Olsen - Effects of Greywater on perennial ryegrass cultivars.  </w:t>
      </w:r>
    </w:p>
    <w:p w:rsidR="00BC11E0" w:rsidRDefault="00BC11E0" w:rsidP="00CD3A4B">
      <w:pPr>
        <w:tabs>
          <w:tab w:val="left" w:pos="6300"/>
        </w:tabs>
        <w:spacing w:after="0" w:line="240" w:lineRule="auto"/>
        <w:rPr>
          <w:rFonts w:ascii="Times New Roman" w:eastAsia="Times New Roman" w:hAnsi="Times New Roman" w:cs="Times New Roman"/>
          <w:sz w:val="20"/>
          <w:szCs w:val="20"/>
        </w:rPr>
      </w:pPr>
      <w:r w:rsidRPr="00BC11E0">
        <w:rPr>
          <w:noProof/>
          <w:sz w:val="24"/>
          <w:szCs w:val="24"/>
        </w:rPr>
        <w:drawing>
          <wp:anchor distT="0" distB="0" distL="114300" distR="114300" simplePos="0" relativeHeight="251660288" behindDoc="1" locked="0" layoutInCell="1" allowOverlap="1" wp14:anchorId="30AE1417" wp14:editId="21457825">
            <wp:simplePos x="0" y="0"/>
            <wp:positionH relativeFrom="column">
              <wp:posOffset>0</wp:posOffset>
            </wp:positionH>
            <wp:positionV relativeFrom="paragraph">
              <wp:posOffset>0</wp:posOffset>
            </wp:positionV>
            <wp:extent cx="5943198" cy="6624955"/>
            <wp:effectExtent l="0" t="0" r="63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3784"/>
                    <a:stretch/>
                  </pic:blipFill>
                  <pic:spPr bwMode="auto">
                    <a:xfrm>
                      <a:off x="0" y="0"/>
                      <a:ext cx="5943198" cy="6624955"/>
                    </a:xfrm>
                    <a:prstGeom prst="rect">
                      <a:avLst/>
                    </a:prstGeom>
                    <a:noFill/>
                    <a:ln>
                      <a:noFill/>
                    </a:ln>
                    <a:extLst>
                      <a:ext uri="{53640926-AAD7-44D8-BBD7-CCE9431645EC}">
                        <a14:shadowObscured xmlns:a14="http://schemas.microsoft.com/office/drawing/2010/main"/>
                      </a:ext>
                    </a:extLst>
                  </pic:spPr>
                </pic:pic>
              </a:graphicData>
            </a:graphic>
          </wp:anchor>
        </w:drawing>
      </w:r>
    </w:p>
    <w:p w:rsidR="00BC11E0" w:rsidRDefault="00BC11E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CC5A38" w:rsidRDefault="00BC11E0">
      <w:pPr>
        <w:rPr>
          <w:rFonts w:eastAsia="Times New Roman" w:cs="Times New Roman"/>
          <w:sz w:val="24"/>
          <w:szCs w:val="24"/>
        </w:rPr>
      </w:pPr>
      <w:r w:rsidRPr="00BC11E0">
        <w:rPr>
          <w:rFonts w:eastAsia="Times New Roman" w:cs="Times New Roman"/>
          <w:b/>
          <w:sz w:val="24"/>
          <w:szCs w:val="24"/>
        </w:rPr>
        <w:lastRenderedPageBreak/>
        <w:t xml:space="preserve">Stop 3: </w:t>
      </w:r>
      <w:r>
        <w:rPr>
          <w:rFonts w:eastAsia="Times New Roman" w:cs="Times New Roman"/>
          <w:sz w:val="24"/>
          <w:szCs w:val="24"/>
        </w:rPr>
        <w:t xml:space="preserve">Micah Gould – Low Maintenance Landscapes for Oregon Public Schools </w:t>
      </w:r>
      <w:r w:rsidRPr="00BC11E0">
        <w:rPr>
          <w:rFonts w:eastAsia="Times New Roman" w:cs="Times New Roman"/>
          <w:sz w:val="24"/>
          <w:szCs w:val="24"/>
        </w:rPr>
        <w:t xml:space="preserve"> </w:t>
      </w:r>
    </w:p>
    <w:p w:rsidR="00994F2A" w:rsidRDefault="00994F2A">
      <w:pPr>
        <w:rPr>
          <w:rFonts w:eastAsia="Times New Roman" w:cs="Times New Roman"/>
          <w:sz w:val="24"/>
          <w:szCs w:val="24"/>
        </w:rPr>
      </w:pPr>
      <w:r w:rsidRPr="00D13230">
        <w:rPr>
          <w:noProof/>
        </w:rPr>
        <w:drawing>
          <wp:anchor distT="0" distB="0" distL="114300" distR="114300" simplePos="0" relativeHeight="251672576" behindDoc="1" locked="0" layoutInCell="1" allowOverlap="1" wp14:anchorId="42FAB5B2" wp14:editId="2719390B">
            <wp:simplePos x="0" y="0"/>
            <wp:positionH relativeFrom="column">
              <wp:posOffset>864870</wp:posOffset>
            </wp:positionH>
            <wp:positionV relativeFrom="paragraph">
              <wp:posOffset>33272</wp:posOffset>
            </wp:positionV>
            <wp:extent cx="4133527" cy="333756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48568"/>
                    <a:stretch/>
                  </pic:blipFill>
                  <pic:spPr bwMode="auto">
                    <a:xfrm>
                      <a:off x="0" y="0"/>
                      <a:ext cx="4133527" cy="333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r w:rsidRPr="00D13230">
        <w:rPr>
          <w:noProof/>
        </w:rPr>
        <w:drawing>
          <wp:anchor distT="0" distB="0" distL="114300" distR="114300" simplePos="0" relativeHeight="251674624" behindDoc="1" locked="0" layoutInCell="1" allowOverlap="1" wp14:anchorId="43D2D6A0" wp14:editId="0A809D82">
            <wp:simplePos x="0" y="0"/>
            <wp:positionH relativeFrom="column">
              <wp:posOffset>-178435</wp:posOffset>
            </wp:positionH>
            <wp:positionV relativeFrom="paragraph">
              <wp:posOffset>283210</wp:posOffset>
            </wp:positionV>
            <wp:extent cx="6327456" cy="32156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7456" cy="321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p>
    <w:p w:rsidR="00994F2A" w:rsidRDefault="00994F2A">
      <w:pPr>
        <w:rPr>
          <w:rFonts w:eastAsia="Times New Roman" w:cs="Times New Roman"/>
          <w:sz w:val="24"/>
          <w:szCs w:val="24"/>
        </w:rPr>
      </w:pPr>
    </w:p>
    <w:p w:rsidR="00994F2A" w:rsidRDefault="00994F2A">
      <w:pPr>
        <w:rPr>
          <w:noProof/>
        </w:rPr>
      </w:pPr>
    </w:p>
    <w:p w:rsidR="00994F2A" w:rsidRDefault="00CC5A38">
      <w:pPr>
        <w:rPr>
          <w:rFonts w:eastAsia="Times New Roman" w:cs="Times New Roman"/>
          <w:sz w:val="24"/>
          <w:szCs w:val="24"/>
        </w:rPr>
      </w:pPr>
      <w:r>
        <w:rPr>
          <w:rFonts w:eastAsia="Times New Roman" w:cs="Times New Roman"/>
          <w:sz w:val="24"/>
          <w:szCs w:val="24"/>
        </w:rPr>
        <w:br w:type="page"/>
      </w:r>
    </w:p>
    <w:p w:rsidR="00BC11E0" w:rsidRDefault="00BC11E0" w:rsidP="00CC5A38">
      <w:pPr>
        <w:rPr>
          <w:rFonts w:ascii="Times New Roman" w:eastAsia="Times New Roman" w:hAnsi="Times New Roman" w:cs="Times New Roman"/>
          <w:b/>
          <w:sz w:val="20"/>
          <w:szCs w:val="20"/>
        </w:rPr>
      </w:pPr>
      <w:r w:rsidRPr="00BC11E0">
        <w:rPr>
          <w:rFonts w:ascii="Times New Roman" w:eastAsia="Times New Roman" w:hAnsi="Times New Roman" w:cs="Times New Roman"/>
          <w:b/>
          <w:sz w:val="20"/>
          <w:szCs w:val="20"/>
        </w:rPr>
        <w:lastRenderedPageBreak/>
        <w:t>Handouts</w:t>
      </w:r>
      <w:r>
        <w:rPr>
          <w:rFonts w:ascii="Times New Roman" w:eastAsia="Times New Roman" w:hAnsi="Times New Roman" w:cs="Times New Roman"/>
          <w:b/>
          <w:sz w:val="20"/>
          <w:szCs w:val="20"/>
        </w:rPr>
        <w:t xml:space="preserve">: </w:t>
      </w:r>
      <w:r w:rsidRPr="00BC11E0">
        <w:rPr>
          <w:rFonts w:ascii="Times New Roman" w:eastAsia="Times New Roman" w:hAnsi="Times New Roman" w:cs="Times New Roman"/>
          <w:sz w:val="20"/>
          <w:szCs w:val="20"/>
        </w:rPr>
        <w:t>Plant Disease Management Report</w:t>
      </w:r>
      <w:r w:rsidR="00640455">
        <w:rPr>
          <w:rFonts w:ascii="Times New Roman" w:eastAsia="Times New Roman" w:hAnsi="Times New Roman" w:cs="Times New Roman"/>
          <w:sz w:val="20"/>
          <w:szCs w:val="20"/>
        </w:rPr>
        <w:t>.</w:t>
      </w:r>
      <w:r w:rsidRPr="00BC11E0">
        <w:rPr>
          <w:rFonts w:ascii="Times New Roman" w:eastAsia="Times New Roman" w:hAnsi="Times New Roman" w:cs="Times New Roman"/>
          <w:sz w:val="20"/>
          <w:szCs w:val="20"/>
        </w:rPr>
        <w:t xml:space="preserve"> 10:T038.</w:t>
      </w:r>
    </w:p>
    <w:p w:rsidR="00BC11E0" w:rsidRPr="00BC11E0" w:rsidRDefault="00BC11E0" w:rsidP="00CD3A4B">
      <w:pPr>
        <w:tabs>
          <w:tab w:val="left" w:pos="6300"/>
        </w:tabs>
        <w:spacing w:after="0" w:line="240" w:lineRule="auto"/>
        <w:rPr>
          <w:rFonts w:ascii="Times New Roman" w:eastAsia="Times New Roman" w:hAnsi="Times New Roman" w:cs="Times New Roman"/>
          <w:b/>
          <w:sz w:val="20"/>
          <w:szCs w:val="20"/>
        </w:rPr>
      </w:pPr>
    </w:p>
    <w:p w:rsidR="00CD3A4B" w:rsidRPr="00BC11E0" w:rsidRDefault="00CD3A4B" w:rsidP="00640455">
      <w:pPr>
        <w:tabs>
          <w:tab w:val="left" w:pos="6300"/>
        </w:tabs>
        <w:spacing w:after="0" w:line="240" w:lineRule="auto"/>
        <w:jc w:val="right"/>
        <w:rPr>
          <w:rFonts w:ascii="Times New Roman" w:eastAsia="Times New Roman" w:hAnsi="Times New Roman" w:cs="Times New Roman"/>
          <w:sz w:val="18"/>
          <w:szCs w:val="18"/>
        </w:rPr>
      </w:pPr>
      <w:r w:rsidRPr="00BC11E0">
        <w:rPr>
          <w:rFonts w:ascii="Times New Roman" w:eastAsia="Times New Roman" w:hAnsi="Times New Roman" w:cs="Times New Roman"/>
          <w:sz w:val="18"/>
          <w:szCs w:val="18"/>
        </w:rPr>
        <w:t>ANNUAL BLUEGRASS (</w:t>
      </w:r>
      <w:r w:rsidRPr="00BC11E0">
        <w:rPr>
          <w:rFonts w:ascii="Times New Roman" w:eastAsia="Times New Roman" w:hAnsi="Times New Roman" w:cs="Times New Roman"/>
          <w:i/>
          <w:sz w:val="18"/>
          <w:szCs w:val="18"/>
        </w:rPr>
        <w:t>Poa annua</w:t>
      </w:r>
      <w:r w:rsidRPr="00BC11E0">
        <w:rPr>
          <w:rFonts w:ascii="Times New Roman" w:eastAsia="Times New Roman" w:hAnsi="Times New Roman" w:cs="Times New Roman"/>
          <w:sz w:val="18"/>
          <w:szCs w:val="18"/>
        </w:rPr>
        <w:t>)</w:t>
      </w:r>
      <w:r w:rsidRPr="00BC11E0">
        <w:rPr>
          <w:rFonts w:ascii="Times New Roman" w:eastAsia="Times New Roman" w:hAnsi="Times New Roman" w:cs="Times New Roman"/>
          <w:sz w:val="18"/>
          <w:szCs w:val="18"/>
        </w:rPr>
        <w:tab/>
        <w:t>A.R. Kowalewski, and B.W. McDonald</w:t>
      </w:r>
    </w:p>
    <w:p w:rsidR="00CD3A4B" w:rsidRPr="00BC11E0" w:rsidRDefault="00CD3A4B" w:rsidP="00640455">
      <w:pPr>
        <w:tabs>
          <w:tab w:val="left" w:pos="6300"/>
        </w:tabs>
        <w:spacing w:after="0" w:line="240" w:lineRule="auto"/>
        <w:ind w:left="720"/>
        <w:jc w:val="right"/>
        <w:rPr>
          <w:rFonts w:ascii="Times New Roman" w:eastAsia="Times New Roman" w:hAnsi="Times New Roman" w:cs="Times New Roman"/>
          <w:b/>
          <w:sz w:val="18"/>
          <w:szCs w:val="18"/>
        </w:rPr>
      </w:pPr>
      <w:r w:rsidRPr="00BC11E0">
        <w:rPr>
          <w:rFonts w:ascii="Times New Roman" w:eastAsia="Times New Roman" w:hAnsi="Times New Roman" w:cs="Times New Roman"/>
          <w:sz w:val="18"/>
          <w:szCs w:val="18"/>
        </w:rPr>
        <w:t>Microdochium patch (</w:t>
      </w:r>
      <w:r w:rsidRPr="00BC11E0">
        <w:rPr>
          <w:rFonts w:ascii="Times New Roman" w:eastAsia="Times New Roman" w:hAnsi="Times New Roman" w:cs="Times New Roman"/>
          <w:i/>
          <w:sz w:val="18"/>
          <w:szCs w:val="18"/>
        </w:rPr>
        <w:t>Microdochium nivale</w:t>
      </w:r>
      <w:r w:rsidRPr="00BC11E0">
        <w:rPr>
          <w:rFonts w:ascii="Times New Roman" w:eastAsia="Times New Roman" w:hAnsi="Times New Roman" w:cs="Times New Roman"/>
          <w:sz w:val="18"/>
          <w:szCs w:val="18"/>
        </w:rPr>
        <w:t>)</w:t>
      </w:r>
      <w:r w:rsidRPr="00BC11E0">
        <w:rPr>
          <w:rFonts w:ascii="Times New Roman" w:eastAsia="Times New Roman" w:hAnsi="Times New Roman" w:cs="Times New Roman"/>
          <w:sz w:val="18"/>
          <w:szCs w:val="18"/>
        </w:rPr>
        <w:tab/>
      </w:r>
      <w:r w:rsidR="00640455">
        <w:rPr>
          <w:rFonts w:ascii="Times New Roman" w:eastAsia="Times New Roman" w:hAnsi="Times New Roman" w:cs="Times New Roman"/>
          <w:sz w:val="18"/>
          <w:szCs w:val="18"/>
        </w:rPr>
        <w:t xml:space="preserve">                  </w:t>
      </w:r>
      <w:r w:rsidRPr="00BC11E0">
        <w:rPr>
          <w:rFonts w:ascii="Times New Roman" w:eastAsia="Times New Roman" w:hAnsi="Times New Roman" w:cs="Times New Roman"/>
          <w:sz w:val="18"/>
          <w:szCs w:val="18"/>
        </w:rPr>
        <w:t>Department of Horticulture</w:t>
      </w:r>
      <w:r w:rsidRPr="00BC11E0">
        <w:rPr>
          <w:rFonts w:ascii="Times New Roman" w:eastAsia="Times New Roman" w:hAnsi="Times New Roman" w:cs="Times New Roman"/>
          <w:sz w:val="18"/>
          <w:szCs w:val="18"/>
        </w:rPr>
        <w:br/>
      </w:r>
      <w:r w:rsidRPr="00BC11E0">
        <w:rPr>
          <w:rFonts w:ascii="Times New Roman" w:eastAsia="Times New Roman" w:hAnsi="Times New Roman" w:cs="Times New Roman"/>
          <w:sz w:val="18"/>
          <w:szCs w:val="18"/>
        </w:rPr>
        <w:tab/>
        <w:t>4017 ALS</w:t>
      </w:r>
      <w:r w:rsidRPr="00BC11E0">
        <w:rPr>
          <w:rFonts w:ascii="Times New Roman" w:eastAsia="Times New Roman" w:hAnsi="Times New Roman" w:cs="Times New Roman"/>
          <w:sz w:val="18"/>
          <w:szCs w:val="18"/>
        </w:rPr>
        <w:br/>
      </w:r>
      <w:r w:rsidRPr="00BC11E0">
        <w:rPr>
          <w:rFonts w:ascii="Times New Roman" w:eastAsia="Times New Roman" w:hAnsi="Times New Roman" w:cs="Times New Roman"/>
          <w:sz w:val="18"/>
          <w:szCs w:val="18"/>
        </w:rPr>
        <w:tab/>
        <w:t>Oregon State University</w:t>
      </w:r>
      <w:r w:rsidRPr="00BC11E0">
        <w:rPr>
          <w:rFonts w:ascii="Times New Roman" w:eastAsia="Times New Roman" w:hAnsi="Times New Roman" w:cs="Times New Roman"/>
          <w:sz w:val="18"/>
          <w:szCs w:val="18"/>
        </w:rPr>
        <w:br/>
      </w:r>
      <w:r w:rsidRPr="00BC11E0">
        <w:rPr>
          <w:rFonts w:ascii="Times New Roman" w:eastAsia="Times New Roman" w:hAnsi="Times New Roman" w:cs="Times New Roman"/>
          <w:sz w:val="18"/>
          <w:szCs w:val="18"/>
        </w:rPr>
        <w:tab/>
        <w:t>Corvallis, OR 97331</w:t>
      </w:r>
    </w:p>
    <w:p w:rsidR="00CD3A4B" w:rsidRPr="00BC11E0" w:rsidRDefault="00CD3A4B" w:rsidP="00CD3A4B">
      <w:pPr>
        <w:spacing w:after="0" w:line="240" w:lineRule="auto"/>
        <w:rPr>
          <w:rFonts w:ascii="Times New Roman" w:eastAsia="Times New Roman" w:hAnsi="Times New Roman" w:cs="Times New Roman"/>
          <w:b/>
          <w:sz w:val="18"/>
          <w:szCs w:val="18"/>
        </w:rPr>
      </w:pPr>
    </w:p>
    <w:p w:rsidR="00CD3A4B" w:rsidRPr="00BC11E0" w:rsidRDefault="00CD3A4B" w:rsidP="00CD3A4B">
      <w:pPr>
        <w:spacing w:after="0" w:line="240" w:lineRule="auto"/>
        <w:rPr>
          <w:rFonts w:ascii="Times New Roman" w:eastAsia="Times New Roman" w:hAnsi="Times New Roman" w:cs="Times New Roman"/>
          <w:sz w:val="18"/>
          <w:szCs w:val="18"/>
        </w:rPr>
      </w:pPr>
      <w:r w:rsidRPr="00BC11E0">
        <w:rPr>
          <w:rFonts w:ascii="Times New Roman" w:eastAsia="Times New Roman" w:hAnsi="Times New Roman" w:cs="Times New Roman"/>
          <w:b/>
          <w:sz w:val="18"/>
          <w:szCs w:val="18"/>
        </w:rPr>
        <w:t>Evaluation of fungicides for preventative control of Microdochium patch on annual bluegrass in western Oregon, 2016.</w:t>
      </w:r>
    </w:p>
    <w:p w:rsidR="00CD3A4B" w:rsidRPr="00BC11E0" w:rsidRDefault="00CD3A4B" w:rsidP="00CD3A4B">
      <w:pPr>
        <w:spacing w:after="0" w:line="240" w:lineRule="auto"/>
        <w:rPr>
          <w:rFonts w:ascii="Times New Roman" w:eastAsia="Times New Roman" w:hAnsi="Times New Roman" w:cs="Times New Roman"/>
          <w:sz w:val="18"/>
          <w:szCs w:val="18"/>
        </w:rPr>
      </w:pPr>
    </w:p>
    <w:p w:rsidR="00CD3A4B" w:rsidRPr="00BC11E0" w:rsidRDefault="00CD3A4B" w:rsidP="00CD3A4B">
      <w:pPr>
        <w:spacing w:after="0" w:line="240" w:lineRule="auto"/>
        <w:rPr>
          <w:rFonts w:ascii="Times New Roman" w:eastAsia="Times New Roman" w:hAnsi="Times New Roman" w:cs="Times New Roman"/>
          <w:sz w:val="18"/>
          <w:szCs w:val="18"/>
        </w:rPr>
      </w:pPr>
      <w:r w:rsidRPr="00BC11E0">
        <w:rPr>
          <w:rFonts w:ascii="Times New Roman" w:eastAsia="Times New Roman" w:hAnsi="Times New Roman" w:cs="Times New Roman"/>
          <w:sz w:val="18"/>
          <w:szCs w:val="18"/>
        </w:rPr>
        <w:t>Microdochium patch is a major turfgrass disease in cool, humid regions of the Pacific Northwest, Western Canada and Northern Europe.  The objective of this study was to evaluate the efficacy of systemic fungicide applications in the DMI class and various contact fungicides for Microdochium patch control on an annual bluegrass putting green.  A field experiment was initiated on 26 Jan on an annual bluegrass putting green grown on silty clay loam soil with no drainage at Oregon State University, Corvallis, OR. Experimental design was a randomized complete block, with three replications.  The size of the plots measured 25 sq ft (5 ft × 5 ft).    Fungicide treatments were applied on a two or four week interval, depending on labeled frequency and fungicide mode of action. Treatments were applied with a CO</w:t>
      </w:r>
      <w:r w:rsidRPr="00BC11E0">
        <w:rPr>
          <w:rFonts w:ascii="Times New Roman" w:eastAsia="Times New Roman" w:hAnsi="Times New Roman" w:cs="Times New Roman"/>
          <w:sz w:val="18"/>
          <w:szCs w:val="18"/>
          <w:vertAlign w:val="subscript"/>
        </w:rPr>
        <w:t>2</w:t>
      </w:r>
      <w:r w:rsidRPr="00BC11E0">
        <w:rPr>
          <w:rFonts w:ascii="Times New Roman" w:eastAsia="Times New Roman" w:hAnsi="Times New Roman" w:cs="Times New Roman"/>
          <w:sz w:val="18"/>
          <w:szCs w:val="18"/>
        </w:rPr>
        <w:t xml:space="preserve">-powered, two-wheeled sprayer with a 4-ft boom using TeeJet 80015 nozzles spraying 2 gal of spray solution per 1,000 sq ft at 35 psi.    Percent disease (0-100%) and turf quality (1-9 scale, with a 6 or greater considered acceptable) ratings were collected on 28 Mar, at the peak of disease.  Data were subjected to analysis of variance and differences between means were determined by Fisher’s protected LSD at the 0.05 level of probability.  </w:t>
      </w:r>
    </w:p>
    <w:p w:rsidR="00CD3A4B" w:rsidRPr="00BC11E0" w:rsidRDefault="00CD3A4B" w:rsidP="00CD3A4B">
      <w:pPr>
        <w:spacing w:after="0" w:line="240" w:lineRule="auto"/>
        <w:rPr>
          <w:rFonts w:ascii="Times New Roman" w:eastAsia="Times New Roman" w:hAnsi="Times New Roman" w:cs="Times New Roman"/>
          <w:b/>
          <w:sz w:val="18"/>
          <w:szCs w:val="18"/>
        </w:rPr>
      </w:pPr>
    </w:p>
    <w:p w:rsidR="00CD3A4B" w:rsidRPr="00BC11E0" w:rsidRDefault="00CD3A4B" w:rsidP="00CD3A4B">
      <w:pPr>
        <w:spacing w:after="0" w:line="240" w:lineRule="auto"/>
        <w:rPr>
          <w:rFonts w:ascii="Times New Roman" w:eastAsia="Times New Roman" w:hAnsi="Times New Roman" w:cs="Times New Roman"/>
          <w:sz w:val="18"/>
          <w:szCs w:val="18"/>
        </w:rPr>
      </w:pPr>
      <w:r w:rsidRPr="00BC11E0">
        <w:rPr>
          <w:rFonts w:ascii="Times New Roman" w:eastAsia="Times New Roman" w:hAnsi="Times New Roman" w:cs="Times New Roman"/>
          <w:sz w:val="18"/>
          <w:szCs w:val="18"/>
        </w:rPr>
        <w:t xml:space="preserve">The untreated plots had the highest percent disease (28.3%), followed by Trinity (18.3%), and then Tourney, Torque, and Mirage (11, 7.0, and 4.3%, respectively).  Secure, Turfcide 400, Daconil Weather Stik, and Dithane resulted in the lowest percent disease ranging from 0.1 to 0.4%, and had the highest turf quality ranging from 6.8 to 7.7.  Banner Maxx II was the only DMI that provided acceptable turf quality with an average rating of 6.2.  The untreated plots received the lowest quality ratings (2.8).    </w:t>
      </w:r>
    </w:p>
    <w:p w:rsidR="00CD3A4B" w:rsidRPr="00BC11E0" w:rsidRDefault="00CD3A4B" w:rsidP="00CD3A4B">
      <w:pPr>
        <w:spacing w:after="0" w:line="240" w:lineRule="auto"/>
        <w:rPr>
          <w:rFonts w:ascii="Times New Roman" w:eastAsia="Times New Roman" w:hAnsi="Times New Roman" w:cs="Times New Roman"/>
          <w:sz w:val="18"/>
          <w:szCs w:val="18"/>
        </w:rPr>
      </w:pPr>
    </w:p>
    <w:tbl>
      <w:tblPr>
        <w:tblW w:w="8624" w:type="dxa"/>
        <w:jc w:val="center"/>
        <w:tblLook w:val="04A0" w:firstRow="1" w:lastRow="0" w:firstColumn="1" w:lastColumn="0" w:noHBand="0" w:noVBand="1"/>
      </w:tblPr>
      <w:tblGrid>
        <w:gridCol w:w="2846"/>
        <w:gridCol w:w="1379"/>
        <w:gridCol w:w="1255"/>
        <w:gridCol w:w="794"/>
        <w:gridCol w:w="742"/>
        <w:gridCol w:w="803"/>
        <w:gridCol w:w="805"/>
      </w:tblGrid>
      <w:tr w:rsidR="00CD3A4B" w:rsidRPr="00BC11E0" w:rsidTr="00BC11E0">
        <w:trPr>
          <w:trHeight w:val="233"/>
          <w:jc w:val="center"/>
        </w:trPr>
        <w:tc>
          <w:tcPr>
            <w:tcW w:w="2846" w:type="dxa"/>
            <w:tcBorders>
              <w:top w:val="single" w:sz="4" w:space="0" w:color="auto"/>
              <w:left w:val="nil"/>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w:t>
            </w:r>
          </w:p>
        </w:tc>
        <w:tc>
          <w:tcPr>
            <w:tcW w:w="1379" w:type="dxa"/>
            <w:tcBorders>
              <w:top w:val="single" w:sz="4" w:space="0" w:color="auto"/>
              <w:left w:val="nil"/>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p>
        </w:tc>
        <w:tc>
          <w:tcPr>
            <w:tcW w:w="1255" w:type="dxa"/>
            <w:tcBorders>
              <w:top w:val="single" w:sz="4" w:space="0" w:color="auto"/>
              <w:left w:val="nil"/>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p>
        </w:tc>
        <w:tc>
          <w:tcPr>
            <w:tcW w:w="3144" w:type="dxa"/>
            <w:gridSpan w:val="4"/>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28 Mar</w:t>
            </w:r>
          </w:p>
        </w:tc>
      </w:tr>
      <w:tr w:rsidR="00CD3A4B" w:rsidRPr="00BC11E0" w:rsidTr="00BC11E0">
        <w:trPr>
          <w:trHeight w:val="440"/>
          <w:jc w:val="center"/>
        </w:trPr>
        <w:tc>
          <w:tcPr>
            <w:tcW w:w="2846" w:type="dxa"/>
            <w:tcBorders>
              <w:top w:val="nil"/>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xml:space="preserve">Treatment, rate (per 1,000 sq ft) </w:t>
            </w:r>
          </w:p>
        </w:tc>
        <w:tc>
          <w:tcPr>
            <w:tcW w:w="1379" w:type="dxa"/>
            <w:tcBorders>
              <w:left w:val="nil"/>
              <w:bottom w:val="single" w:sz="4" w:space="0" w:color="auto"/>
              <w:right w:val="nil"/>
            </w:tcBorders>
            <w:vAlign w:val="bottom"/>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Number of applications</w:t>
            </w:r>
          </w:p>
        </w:tc>
        <w:tc>
          <w:tcPr>
            <w:tcW w:w="1255" w:type="dxa"/>
            <w:tcBorders>
              <w:left w:val="nil"/>
              <w:bottom w:val="single" w:sz="4" w:space="0" w:color="auto"/>
              <w:right w:val="nil"/>
            </w:tcBorders>
            <w:vAlign w:val="bottom"/>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Application interval</w:t>
            </w:r>
            <w:r w:rsidRPr="00BC11E0">
              <w:rPr>
                <w:rFonts w:ascii="Times New Roman" w:eastAsia="Times New Roman" w:hAnsi="Times New Roman" w:cs="Times New Roman"/>
                <w:color w:val="000000"/>
                <w:sz w:val="18"/>
                <w:szCs w:val="18"/>
                <w:vertAlign w:val="superscript"/>
              </w:rPr>
              <w:t>z</w:t>
            </w:r>
          </w:p>
        </w:tc>
        <w:tc>
          <w:tcPr>
            <w:tcW w:w="1536" w:type="dxa"/>
            <w:gridSpan w:val="2"/>
            <w:tcBorders>
              <w:top w:val="single" w:sz="4" w:space="0" w:color="auto"/>
              <w:left w:val="nil"/>
              <w:bottom w:val="single" w:sz="4" w:space="0" w:color="auto"/>
              <w:right w:val="nil"/>
            </w:tcBorders>
            <w:shd w:val="clear" w:color="auto" w:fill="auto"/>
            <w:vAlign w:val="bottom"/>
            <w:hideMark/>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Percent disease</w:t>
            </w:r>
          </w:p>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(0-100%)</w:t>
            </w:r>
            <w:r w:rsidRPr="00BC11E0">
              <w:rPr>
                <w:rFonts w:ascii="Times New Roman" w:eastAsia="Times New Roman" w:hAnsi="Times New Roman" w:cs="Times New Roman"/>
                <w:color w:val="000000"/>
                <w:sz w:val="18"/>
                <w:szCs w:val="18"/>
                <w:vertAlign w:val="superscript"/>
              </w:rPr>
              <w:t>y</w:t>
            </w:r>
          </w:p>
        </w:tc>
        <w:tc>
          <w:tcPr>
            <w:tcW w:w="1608" w:type="dxa"/>
            <w:gridSpan w:val="2"/>
            <w:tcBorders>
              <w:top w:val="single" w:sz="4" w:space="0" w:color="auto"/>
              <w:left w:val="nil"/>
              <w:bottom w:val="single" w:sz="4" w:space="0" w:color="auto"/>
              <w:right w:val="nil"/>
            </w:tcBorders>
            <w:shd w:val="clear" w:color="auto" w:fill="auto"/>
            <w:vAlign w:val="bottom"/>
            <w:hideMark/>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xml:space="preserve">Turf </w:t>
            </w:r>
          </w:p>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quality</w:t>
            </w:r>
          </w:p>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(1-9)</w:t>
            </w:r>
            <w:r w:rsidRPr="00BC11E0">
              <w:rPr>
                <w:rFonts w:ascii="Times New Roman" w:eastAsia="Times New Roman" w:hAnsi="Times New Roman" w:cs="Times New Roman"/>
                <w:color w:val="000000"/>
                <w:sz w:val="18"/>
                <w:szCs w:val="18"/>
                <w:vertAlign w:val="superscript"/>
              </w:rPr>
              <w:t>z</w:t>
            </w:r>
          </w:p>
        </w:tc>
      </w:tr>
      <w:tr w:rsidR="00CD3A4B" w:rsidRPr="00BC11E0" w:rsidTr="00BC11E0">
        <w:trPr>
          <w:trHeight w:val="315"/>
          <w:jc w:val="center"/>
        </w:trPr>
        <w:tc>
          <w:tcPr>
            <w:tcW w:w="2846"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xml:space="preserve">untreated </w:t>
            </w:r>
          </w:p>
        </w:tc>
        <w:tc>
          <w:tcPr>
            <w:tcW w:w="1379"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p>
        </w:tc>
        <w:tc>
          <w:tcPr>
            <w:tcW w:w="1255" w:type="dxa"/>
            <w:tcBorders>
              <w:top w:val="single" w:sz="4" w:space="0" w:color="auto"/>
              <w:left w:val="nil"/>
              <w:bottom w:val="single" w:sz="4" w:space="0" w:color="auto"/>
              <w:right w:val="nil"/>
            </w:tcBorders>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p>
        </w:tc>
        <w:tc>
          <w:tcPr>
            <w:tcW w:w="794"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28.3</w:t>
            </w:r>
          </w:p>
        </w:tc>
        <w:tc>
          <w:tcPr>
            <w:tcW w:w="74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a</w:t>
            </w:r>
          </w:p>
        </w:tc>
        <w:tc>
          <w:tcPr>
            <w:tcW w:w="803"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2.8</w:t>
            </w:r>
          </w:p>
        </w:tc>
        <w:tc>
          <w:tcPr>
            <w:tcW w:w="805"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h</w:t>
            </w:r>
          </w:p>
        </w:tc>
      </w:tr>
      <w:tr w:rsidR="00CD3A4B" w:rsidRPr="00BC11E0" w:rsidTr="00BC11E0">
        <w:trPr>
          <w:trHeight w:val="315"/>
          <w:jc w:val="center"/>
        </w:trPr>
        <w:tc>
          <w:tcPr>
            <w:tcW w:w="2846"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highlight w:val="yellow"/>
              </w:rPr>
            </w:pPr>
            <w:r w:rsidRPr="00BC11E0">
              <w:rPr>
                <w:rFonts w:ascii="Times New Roman" w:eastAsia="Times New Roman" w:hAnsi="Times New Roman" w:cs="Times New Roman"/>
                <w:color w:val="000000"/>
                <w:sz w:val="18"/>
                <w:szCs w:val="18"/>
              </w:rPr>
              <w:t xml:space="preserve">Banner Maxx II 1.3MEC 2.0 fl oz </w:t>
            </w:r>
          </w:p>
        </w:tc>
        <w:tc>
          <w:tcPr>
            <w:tcW w:w="1379"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w:t>
            </w:r>
          </w:p>
        </w:tc>
        <w:tc>
          <w:tcPr>
            <w:tcW w:w="1255"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Cambria" w:eastAsia="Times New Roman" w:hAnsi="Cambria" w:cs="Times New Roman"/>
                <w:b/>
                <w:bCs/>
                <w:color w:val="000000"/>
                <w:sz w:val="18"/>
                <w:szCs w:val="18"/>
              </w:rPr>
            </w:pPr>
            <w:r w:rsidRPr="00BC11E0">
              <w:rPr>
                <w:rFonts w:ascii="Times New Roman" w:eastAsia="Times New Roman" w:hAnsi="Times New Roman" w:cs="Times New Roman"/>
                <w:color w:val="000000"/>
                <w:sz w:val="18"/>
                <w:szCs w:val="18"/>
              </w:rPr>
              <w:t>4 wk</w:t>
            </w:r>
          </w:p>
        </w:tc>
        <w:tc>
          <w:tcPr>
            <w:tcW w:w="794"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1.4</w:t>
            </w:r>
          </w:p>
        </w:tc>
        <w:tc>
          <w:tcPr>
            <w:tcW w:w="74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d</w:t>
            </w:r>
          </w:p>
        </w:tc>
        <w:tc>
          <w:tcPr>
            <w:tcW w:w="803"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6.2</w:t>
            </w:r>
          </w:p>
        </w:tc>
        <w:tc>
          <w:tcPr>
            <w:tcW w:w="805"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bcd</w:t>
            </w:r>
          </w:p>
        </w:tc>
      </w:tr>
      <w:tr w:rsidR="00CD3A4B" w:rsidRPr="00BC11E0" w:rsidTr="00BC11E0">
        <w:trPr>
          <w:trHeight w:val="315"/>
          <w:jc w:val="center"/>
        </w:trPr>
        <w:tc>
          <w:tcPr>
            <w:tcW w:w="2846"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highlight w:val="yellow"/>
              </w:rPr>
            </w:pPr>
            <w:r w:rsidRPr="00BC11E0">
              <w:rPr>
                <w:rFonts w:ascii="Times New Roman" w:eastAsia="Times New Roman" w:hAnsi="Times New Roman" w:cs="Times New Roman"/>
                <w:color w:val="000000"/>
                <w:sz w:val="18"/>
                <w:szCs w:val="18"/>
              </w:rPr>
              <w:t xml:space="preserve">Trinity 1.67SC 2.0 fl oz  </w:t>
            </w:r>
          </w:p>
        </w:tc>
        <w:tc>
          <w:tcPr>
            <w:tcW w:w="1379"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w:t>
            </w:r>
          </w:p>
        </w:tc>
        <w:tc>
          <w:tcPr>
            <w:tcW w:w="1255"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Cambria" w:eastAsia="Times New Roman" w:hAnsi="Cambria" w:cs="Times New Roman"/>
                <w:b/>
                <w:bCs/>
                <w:color w:val="000000"/>
                <w:sz w:val="18"/>
                <w:szCs w:val="18"/>
              </w:rPr>
            </w:pPr>
            <w:r w:rsidRPr="00BC11E0">
              <w:rPr>
                <w:rFonts w:ascii="Times New Roman" w:eastAsia="Times New Roman" w:hAnsi="Times New Roman" w:cs="Times New Roman"/>
                <w:color w:val="000000"/>
                <w:sz w:val="18"/>
                <w:szCs w:val="18"/>
              </w:rPr>
              <w:t>4 wk</w:t>
            </w:r>
          </w:p>
        </w:tc>
        <w:tc>
          <w:tcPr>
            <w:tcW w:w="794"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18.3</w:t>
            </w:r>
          </w:p>
        </w:tc>
        <w:tc>
          <w:tcPr>
            <w:tcW w:w="74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b</w:t>
            </w:r>
          </w:p>
        </w:tc>
        <w:tc>
          <w:tcPr>
            <w:tcW w:w="803"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3.5</w:t>
            </w:r>
          </w:p>
        </w:tc>
        <w:tc>
          <w:tcPr>
            <w:tcW w:w="805"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g</w:t>
            </w:r>
          </w:p>
        </w:tc>
      </w:tr>
      <w:tr w:rsidR="00CD3A4B" w:rsidRPr="00BC11E0" w:rsidTr="00BC11E0">
        <w:trPr>
          <w:trHeight w:val="315"/>
          <w:jc w:val="center"/>
        </w:trPr>
        <w:tc>
          <w:tcPr>
            <w:tcW w:w="2846"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xml:space="preserve">Torque 3.6SC 1.1 fl oz </w:t>
            </w:r>
          </w:p>
        </w:tc>
        <w:tc>
          <w:tcPr>
            <w:tcW w:w="1379"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w:t>
            </w:r>
          </w:p>
        </w:tc>
        <w:tc>
          <w:tcPr>
            <w:tcW w:w="1255"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4 wk</w:t>
            </w:r>
          </w:p>
        </w:tc>
        <w:tc>
          <w:tcPr>
            <w:tcW w:w="794"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7.0</w:t>
            </w:r>
          </w:p>
        </w:tc>
        <w:tc>
          <w:tcPr>
            <w:tcW w:w="74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cd</w:t>
            </w:r>
          </w:p>
        </w:tc>
        <w:tc>
          <w:tcPr>
            <w:tcW w:w="803"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4.3</w:t>
            </w:r>
          </w:p>
        </w:tc>
        <w:tc>
          <w:tcPr>
            <w:tcW w:w="805"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efg</w:t>
            </w:r>
          </w:p>
        </w:tc>
      </w:tr>
      <w:tr w:rsidR="00CD3A4B" w:rsidRPr="00BC11E0" w:rsidTr="00BC11E0">
        <w:trPr>
          <w:trHeight w:val="315"/>
          <w:jc w:val="center"/>
        </w:trPr>
        <w:tc>
          <w:tcPr>
            <w:tcW w:w="2846"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highlight w:val="yellow"/>
              </w:rPr>
            </w:pPr>
            <w:r w:rsidRPr="00BC11E0">
              <w:rPr>
                <w:rFonts w:ascii="Times New Roman" w:eastAsia="Times New Roman" w:hAnsi="Times New Roman" w:cs="Times New Roman"/>
                <w:color w:val="000000"/>
                <w:sz w:val="18"/>
                <w:szCs w:val="18"/>
              </w:rPr>
              <w:t xml:space="preserve">Mirage 2.0SC 2.0 fl oz </w:t>
            </w:r>
          </w:p>
        </w:tc>
        <w:tc>
          <w:tcPr>
            <w:tcW w:w="1379"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w:t>
            </w:r>
          </w:p>
        </w:tc>
        <w:tc>
          <w:tcPr>
            <w:tcW w:w="1255"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4 wk</w:t>
            </w:r>
          </w:p>
        </w:tc>
        <w:tc>
          <w:tcPr>
            <w:tcW w:w="794"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4.3</w:t>
            </w:r>
          </w:p>
        </w:tc>
        <w:tc>
          <w:tcPr>
            <w:tcW w:w="74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cd</w:t>
            </w:r>
          </w:p>
        </w:tc>
        <w:tc>
          <w:tcPr>
            <w:tcW w:w="803"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5.0</w:t>
            </w:r>
          </w:p>
        </w:tc>
        <w:tc>
          <w:tcPr>
            <w:tcW w:w="805"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def</w:t>
            </w:r>
          </w:p>
        </w:tc>
      </w:tr>
      <w:tr w:rsidR="00CD3A4B" w:rsidRPr="00BC11E0" w:rsidTr="00BC11E0">
        <w:trPr>
          <w:trHeight w:val="315"/>
          <w:jc w:val="center"/>
        </w:trPr>
        <w:tc>
          <w:tcPr>
            <w:tcW w:w="2846"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highlight w:val="yellow"/>
              </w:rPr>
            </w:pPr>
            <w:r w:rsidRPr="00BC11E0">
              <w:rPr>
                <w:rFonts w:ascii="Times New Roman" w:eastAsia="Times New Roman" w:hAnsi="Times New Roman" w:cs="Times New Roman"/>
                <w:color w:val="000000"/>
                <w:sz w:val="18"/>
                <w:szCs w:val="18"/>
              </w:rPr>
              <w:t xml:space="preserve">Tourney 50WDG 0.37 oz </w:t>
            </w:r>
          </w:p>
        </w:tc>
        <w:tc>
          <w:tcPr>
            <w:tcW w:w="1379"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w:t>
            </w:r>
          </w:p>
        </w:tc>
        <w:tc>
          <w:tcPr>
            <w:tcW w:w="1255"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4 wk</w:t>
            </w:r>
          </w:p>
        </w:tc>
        <w:tc>
          <w:tcPr>
            <w:tcW w:w="794"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11.0</w:t>
            </w:r>
          </w:p>
        </w:tc>
        <w:tc>
          <w:tcPr>
            <w:tcW w:w="74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bc</w:t>
            </w:r>
          </w:p>
        </w:tc>
        <w:tc>
          <w:tcPr>
            <w:tcW w:w="803"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3.7</w:t>
            </w:r>
          </w:p>
        </w:tc>
        <w:tc>
          <w:tcPr>
            <w:tcW w:w="805"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fg</w:t>
            </w:r>
          </w:p>
        </w:tc>
      </w:tr>
      <w:tr w:rsidR="00CD3A4B" w:rsidRPr="00BC11E0" w:rsidTr="00BC11E0">
        <w:trPr>
          <w:trHeight w:val="315"/>
          <w:jc w:val="center"/>
        </w:trPr>
        <w:tc>
          <w:tcPr>
            <w:tcW w:w="2846"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highlight w:val="yellow"/>
              </w:rPr>
            </w:pPr>
            <w:r w:rsidRPr="00BC11E0">
              <w:rPr>
                <w:rFonts w:ascii="Times New Roman" w:eastAsia="Times New Roman" w:hAnsi="Times New Roman" w:cs="Times New Roman"/>
                <w:color w:val="000000"/>
                <w:sz w:val="18"/>
                <w:szCs w:val="18"/>
              </w:rPr>
              <w:t xml:space="preserve">Secure 4.17SC 0.5 fl oz </w:t>
            </w:r>
          </w:p>
        </w:tc>
        <w:tc>
          <w:tcPr>
            <w:tcW w:w="1379"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4</w:t>
            </w:r>
          </w:p>
        </w:tc>
        <w:tc>
          <w:tcPr>
            <w:tcW w:w="1255"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 wk</w:t>
            </w:r>
          </w:p>
        </w:tc>
        <w:tc>
          <w:tcPr>
            <w:tcW w:w="794"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0.1</w:t>
            </w:r>
          </w:p>
        </w:tc>
        <w:tc>
          <w:tcPr>
            <w:tcW w:w="74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d</w:t>
            </w:r>
          </w:p>
        </w:tc>
        <w:tc>
          <w:tcPr>
            <w:tcW w:w="803"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7.7</w:t>
            </w:r>
          </w:p>
        </w:tc>
        <w:tc>
          <w:tcPr>
            <w:tcW w:w="805"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a</w:t>
            </w:r>
          </w:p>
        </w:tc>
      </w:tr>
      <w:tr w:rsidR="00CD3A4B" w:rsidRPr="00BC11E0" w:rsidTr="00BC11E0">
        <w:trPr>
          <w:trHeight w:val="315"/>
          <w:jc w:val="center"/>
        </w:trPr>
        <w:tc>
          <w:tcPr>
            <w:tcW w:w="2846"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highlight w:val="yellow"/>
              </w:rPr>
            </w:pPr>
            <w:r w:rsidRPr="00BC11E0">
              <w:rPr>
                <w:rFonts w:ascii="Times New Roman" w:eastAsia="Times New Roman" w:hAnsi="Times New Roman" w:cs="Times New Roman"/>
                <w:color w:val="000000"/>
                <w:sz w:val="18"/>
                <w:szCs w:val="18"/>
              </w:rPr>
              <w:t xml:space="preserve">Dithane 75DF Rainshield 8.0 oz </w:t>
            </w:r>
          </w:p>
        </w:tc>
        <w:tc>
          <w:tcPr>
            <w:tcW w:w="1379"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4</w:t>
            </w:r>
          </w:p>
        </w:tc>
        <w:tc>
          <w:tcPr>
            <w:tcW w:w="1255"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 wk</w:t>
            </w:r>
          </w:p>
        </w:tc>
        <w:tc>
          <w:tcPr>
            <w:tcW w:w="794"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0.4</w:t>
            </w:r>
          </w:p>
        </w:tc>
        <w:tc>
          <w:tcPr>
            <w:tcW w:w="74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d</w:t>
            </w:r>
          </w:p>
        </w:tc>
        <w:tc>
          <w:tcPr>
            <w:tcW w:w="803"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6.8</w:t>
            </w:r>
          </w:p>
        </w:tc>
        <w:tc>
          <w:tcPr>
            <w:tcW w:w="805"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abc</w:t>
            </w:r>
          </w:p>
        </w:tc>
      </w:tr>
      <w:tr w:rsidR="00CD3A4B" w:rsidRPr="00BC11E0" w:rsidTr="00BC11E0">
        <w:trPr>
          <w:trHeight w:val="315"/>
          <w:jc w:val="center"/>
        </w:trPr>
        <w:tc>
          <w:tcPr>
            <w:tcW w:w="2846" w:type="dxa"/>
            <w:tcBorders>
              <w:top w:val="single" w:sz="4" w:space="0" w:color="auto"/>
              <w:left w:val="nil"/>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Daconil Weather Stik 6F 5.0 fl oz</w:t>
            </w:r>
          </w:p>
        </w:tc>
        <w:tc>
          <w:tcPr>
            <w:tcW w:w="1379" w:type="dxa"/>
            <w:tcBorders>
              <w:top w:val="single" w:sz="4" w:space="0" w:color="auto"/>
              <w:left w:val="nil"/>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1</w:t>
            </w:r>
          </w:p>
        </w:tc>
        <w:tc>
          <w:tcPr>
            <w:tcW w:w="1255" w:type="dxa"/>
            <w:tcBorders>
              <w:top w:val="single" w:sz="4" w:space="0" w:color="auto"/>
              <w:left w:val="nil"/>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initial</w:t>
            </w:r>
          </w:p>
        </w:tc>
        <w:tc>
          <w:tcPr>
            <w:tcW w:w="794" w:type="dxa"/>
            <w:vMerge w:val="restart"/>
            <w:tcBorders>
              <w:top w:val="single" w:sz="4" w:space="0" w:color="auto"/>
              <w:left w:val="nil"/>
              <w:right w:val="nil"/>
            </w:tcBorders>
            <w:shd w:val="clear" w:color="auto" w:fill="auto"/>
            <w:noWrap/>
            <w:vAlign w:val="center"/>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0.2</w:t>
            </w:r>
          </w:p>
        </w:tc>
        <w:tc>
          <w:tcPr>
            <w:tcW w:w="742" w:type="dxa"/>
            <w:vMerge w:val="restart"/>
            <w:tcBorders>
              <w:top w:val="single" w:sz="4" w:space="0" w:color="auto"/>
              <w:left w:val="nil"/>
              <w:right w:val="nil"/>
            </w:tcBorders>
            <w:shd w:val="clear" w:color="auto" w:fill="auto"/>
            <w:noWrap/>
            <w:vAlign w:val="center"/>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d</w:t>
            </w:r>
          </w:p>
        </w:tc>
        <w:tc>
          <w:tcPr>
            <w:tcW w:w="803" w:type="dxa"/>
            <w:vMerge w:val="restart"/>
            <w:tcBorders>
              <w:top w:val="single" w:sz="4" w:space="0" w:color="auto"/>
              <w:left w:val="nil"/>
              <w:right w:val="nil"/>
            </w:tcBorders>
            <w:shd w:val="clear" w:color="auto" w:fill="auto"/>
            <w:noWrap/>
            <w:vAlign w:val="center"/>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7.5</w:t>
            </w:r>
          </w:p>
        </w:tc>
        <w:tc>
          <w:tcPr>
            <w:tcW w:w="805" w:type="dxa"/>
            <w:vMerge w:val="restart"/>
            <w:tcBorders>
              <w:top w:val="single" w:sz="4" w:space="0" w:color="auto"/>
              <w:left w:val="nil"/>
              <w:right w:val="nil"/>
            </w:tcBorders>
            <w:shd w:val="clear" w:color="auto" w:fill="auto"/>
            <w:noWrap/>
            <w:vAlign w:val="center"/>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ab</w:t>
            </w:r>
          </w:p>
        </w:tc>
      </w:tr>
      <w:tr w:rsidR="00CD3A4B" w:rsidRPr="00BC11E0" w:rsidTr="00BC11E0">
        <w:trPr>
          <w:trHeight w:val="315"/>
          <w:jc w:val="center"/>
        </w:trPr>
        <w:tc>
          <w:tcPr>
            <w:tcW w:w="2846" w:type="dxa"/>
            <w:tcBorders>
              <w:left w:val="nil"/>
              <w:bottom w:val="single" w:sz="4" w:space="0" w:color="auto"/>
              <w:right w:val="nil"/>
            </w:tcBorders>
            <w:shd w:val="clear" w:color="auto" w:fill="auto"/>
            <w:noWrap/>
            <w:vAlign w:val="bottom"/>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Daconil Weather Stik 6F 3.6 fl oz</w:t>
            </w:r>
          </w:p>
        </w:tc>
        <w:tc>
          <w:tcPr>
            <w:tcW w:w="1379" w:type="dxa"/>
            <w:tcBorders>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3</w:t>
            </w:r>
          </w:p>
        </w:tc>
        <w:tc>
          <w:tcPr>
            <w:tcW w:w="1255" w:type="dxa"/>
            <w:tcBorders>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 wk</w:t>
            </w:r>
          </w:p>
        </w:tc>
        <w:tc>
          <w:tcPr>
            <w:tcW w:w="794" w:type="dxa"/>
            <w:vMerge/>
            <w:tcBorders>
              <w:left w:val="nil"/>
              <w:bottom w:val="single" w:sz="4" w:space="0" w:color="auto"/>
              <w:right w:val="nil"/>
            </w:tcBorders>
            <w:shd w:val="clear" w:color="auto" w:fill="auto"/>
            <w:noWrap/>
            <w:vAlign w:val="bottom"/>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p>
        </w:tc>
        <w:tc>
          <w:tcPr>
            <w:tcW w:w="742" w:type="dxa"/>
            <w:vMerge/>
            <w:tcBorders>
              <w:left w:val="nil"/>
              <w:bottom w:val="single" w:sz="4" w:space="0" w:color="auto"/>
              <w:right w:val="nil"/>
            </w:tcBorders>
            <w:shd w:val="clear" w:color="auto" w:fill="auto"/>
            <w:noWrap/>
            <w:vAlign w:val="bottom"/>
          </w:tcPr>
          <w:p w:rsidR="00CD3A4B" w:rsidRPr="00BC11E0" w:rsidRDefault="00CD3A4B" w:rsidP="00CD3A4B">
            <w:pPr>
              <w:spacing w:after="0" w:line="240" w:lineRule="auto"/>
              <w:rPr>
                <w:rFonts w:ascii="Times New Roman" w:eastAsia="Times New Roman" w:hAnsi="Times New Roman" w:cs="Times New Roman"/>
                <w:color w:val="000000"/>
                <w:sz w:val="18"/>
                <w:szCs w:val="18"/>
              </w:rPr>
            </w:pPr>
          </w:p>
        </w:tc>
        <w:tc>
          <w:tcPr>
            <w:tcW w:w="803" w:type="dxa"/>
            <w:vMerge/>
            <w:tcBorders>
              <w:left w:val="nil"/>
              <w:bottom w:val="single" w:sz="4" w:space="0" w:color="auto"/>
              <w:right w:val="nil"/>
            </w:tcBorders>
            <w:shd w:val="clear" w:color="auto" w:fill="auto"/>
            <w:noWrap/>
            <w:vAlign w:val="bottom"/>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p>
        </w:tc>
        <w:tc>
          <w:tcPr>
            <w:tcW w:w="805" w:type="dxa"/>
            <w:vMerge/>
            <w:tcBorders>
              <w:left w:val="nil"/>
              <w:bottom w:val="single" w:sz="4" w:space="0" w:color="auto"/>
              <w:right w:val="nil"/>
            </w:tcBorders>
            <w:shd w:val="clear" w:color="auto" w:fill="auto"/>
            <w:noWrap/>
            <w:vAlign w:val="bottom"/>
          </w:tcPr>
          <w:p w:rsidR="00CD3A4B" w:rsidRPr="00BC11E0" w:rsidRDefault="00CD3A4B" w:rsidP="00CD3A4B">
            <w:pPr>
              <w:spacing w:after="0" w:line="240" w:lineRule="auto"/>
              <w:rPr>
                <w:rFonts w:ascii="Times New Roman" w:eastAsia="Times New Roman" w:hAnsi="Times New Roman" w:cs="Times New Roman"/>
                <w:color w:val="000000"/>
                <w:sz w:val="18"/>
                <w:szCs w:val="18"/>
              </w:rPr>
            </w:pPr>
          </w:p>
        </w:tc>
      </w:tr>
      <w:tr w:rsidR="00CD3A4B" w:rsidRPr="00BC11E0" w:rsidTr="00BC11E0">
        <w:trPr>
          <w:trHeight w:val="315"/>
          <w:jc w:val="center"/>
        </w:trPr>
        <w:tc>
          <w:tcPr>
            <w:tcW w:w="2846" w:type="dxa"/>
            <w:tcBorders>
              <w:top w:val="single" w:sz="4" w:space="0" w:color="auto"/>
              <w:left w:val="nil"/>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Medallion 50WP 0.5 oz</w:t>
            </w:r>
          </w:p>
        </w:tc>
        <w:tc>
          <w:tcPr>
            <w:tcW w:w="1379" w:type="dxa"/>
            <w:tcBorders>
              <w:top w:val="single" w:sz="4" w:space="0" w:color="auto"/>
              <w:left w:val="nil"/>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w:t>
            </w:r>
          </w:p>
        </w:tc>
        <w:tc>
          <w:tcPr>
            <w:tcW w:w="1255" w:type="dxa"/>
            <w:tcBorders>
              <w:top w:val="single" w:sz="4" w:space="0" w:color="auto"/>
              <w:left w:val="nil"/>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initial</w:t>
            </w:r>
          </w:p>
        </w:tc>
        <w:tc>
          <w:tcPr>
            <w:tcW w:w="794" w:type="dxa"/>
            <w:vMerge w:val="restart"/>
            <w:tcBorders>
              <w:top w:val="single" w:sz="4" w:space="0" w:color="auto"/>
              <w:left w:val="nil"/>
              <w:right w:val="nil"/>
            </w:tcBorders>
            <w:shd w:val="clear" w:color="auto" w:fill="auto"/>
            <w:noWrap/>
            <w:vAlign w:val="center"/>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2.5</w:t>
            </w:r>
          </w:p>
        </w:tc>
        <w:tc>
          <w:tcPr>
            <w:tcW w:w="742" w:type="dxa"/>
            <w:vMerge w:val="restart"/>
            <w:tcBorders>
              <w:top w:val="single" w:sz="4" w:space="0" w:color="auto"/>
              <w:left w:val="nil"/>
              <w:right w:val="nil"/>
            </w:tcBorders>
            <w:shd w:val="clear" w:color="auto" w:fill="auto"/>
            <w:noWrap/>
            <w:vAlign w:val="center"/>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d</w:t>
            </w:r>
          </w:p>
        </w:tc>
        <w:tc>
          <w:tcPr>
            <w:tcW w:w="803" w:type="dxa"/>
            <w:vMerge w:val="restart"/>
            <w:tcBorders>
              <w:top w:val="single" w:sz="4" w:space="0" w:color="auto"/>
              <w:left w:val="nil"/>
              <w:right w:val="nil"/>
            </w:tcBorders>
            <w:shd w:val="clear" w:color="auto" w:fill="auto"/>
            <w:noWrap/>
            <w:vAlign w:val="center"/>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5.5</w:t>
            </w:r>
          </w:p>
        </w:tc>
        <w:tc>
          <w:tcPr>
            <w:tcW w:w="805" w:type="dxa"/>
            <w:vMerge w:val="restart"/>
            <w:tcBorders>
              <w:top w:val="single" w:sz="4" w:space="0" w:color="auto"/>
              <w:left w:val="nil"/>
              <w:right w:val="nil"/>
            </w:tcBorders>
            <w:shd w:val="clear" w:color="auto" w:fill="auto"/>
            <w:noWrap/>
            <w:vAlign w:val="center"/>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cde</w:t>
            </w:r>
          </w:p>
        </w:tc>
      </w:tr>
      <w:tr w:rsidR="00CD3A4B" w:rsidRPr="00BC11E0" w:rsidTr="00BC11E0">
        <w:trPr>
          <w:trHeight w:val="315"/>
          <w:jc w:val="center"/>
        </w:trPr>
        <w:tc>
          <w:tcPr>
            <w:tcW w:w="2846" w:type="dxa"/>
            <w:tcBorders>
              <w:left w:val="nil"/>
              <w:bottom w:val="single" w:sz="4" w:space="0" w:color="auto"/>
              <w:right w:val="nil"/>
            </w:tcBorders>
            <w:shd w:val="clear" w:color="auto" w:fill="auto"/>
            <w:noWrap/>
            <w:vAlign w:val="bottom"/>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Medallion 50WP 0.25 oz</w:t>
            </w:r>
          </w:p>
        </w:tc>
        <w:tc>
          <w:tcPr>
            <w:tcW w:w="1379" w:type="dxa"/>
            <w:tcBorders>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w:t>
            </w:r>
          </w:p>
        </w:tc>
        <w:tc>
          <w:tcPr>
            <w:tcW w:w="1255" w:type="dxa"/>
            <w:tcBorders>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 wk</w:t>
            </w:r>
          </w:p>
        </w:tc>
        <w:tc>
          <w:tcPr>
            <w:tcW w:w="794" w:type="dxa"/>
            <w:vMerge/>
            <w:tcBorders>
              <w:left w:val="nil"/>
              <w:bottom w:val="single" w:sz="4" w:space="0" w:color="auto"/>
              <w:right w:val="nil"/>
            </w:tcBorders>
            <w:shd w:val="clear" w:color="auto" w:fill="auto"/>
            <w:noWrap/>
            <w:vAlign w:val="bottom"/>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p>
        </w:tc>
        <w:tc>
          <w:tcPr>
            <w:tcW w:w="742" w:type="dxa"/>
            <w:vMerge/>
            <w:tcBorders>
              <w:left w:val="nil"/>
              <w:bottom w:val="single" w:sz="4" w:space="0" w:color="auto"/>
              <w:right w:val="nil"/>
            </w:tcBorders>
            <w:shd w:val="clear" w:color="auto" w:fill="auto"/>
            <w:noWrap/>
            <w:vAlign w:val="bottom"/>
          </w:tcPr>
          <w:p w:rsidR="00CD3A4B" w:rsidRPr="00BC11E0" w:rsidRDefault="00CD3A4B" w:rsidP="00CD3A4B">
            <w:pPr>
              <w:spacing w:after="0" w:line="240" w:lineRule="auto"/>
              <w:rPr>
                <w:rFonts w:ascii="Times New Roman" w:eastAsia="Times New Roman" w:hAnsi="Times New Roman" w:cs="Times New Roman"/>
                <w:color w:val="000000"/>
                <w:sz w:val="18"/>
                <w:szCs w:val="18"/>
              </w:rPr>
            </w:pPr>
          </w:p>
        </w:tc>
        <w:tc>
          <w:tcPr>
            <w:tcW w:w="803" w:type="dxa"/>
            <w:vMerge/>
            <w:tcBorders>
              <w:left w:val="nil"/>
              <w:bottom w:val="single" w:sz="4" w:space="0" w:color="auto"/>
              <w:right w:val="nil"/>
            </w:tcBorders>
            <w:shd w:val="clear" w:color="auto" w:fill="auto"/>
            <w:noWrap/>
            <w:vAlign w:val="bottom"/>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p>
        </w:tc>
        <w:tc>
          <w:tcPr>
            <w:tcW w:w="805" w:type="dxa"/>
            <w:vMerge/>
            <w:tcBorders>
              <w:left w:val="nil"/>
              <w:bottom w:val="single" w:sz="4" w:space="0" w:color="auto"/>
              <w:right w:val="nil"/>
            </w:tcBorders>
            <w:shd w:val="clear" w:color="auto" w:fill="auto"/>
            <w:noWrap/>
            <w:vAlign w:val="bottom"/>
          </w:tcPr>
          <w:p w:rsidR="00CD3A4B" w:rsidRPr="00BC11E0" w:rsidRDefault="00CD3A4B" w:rsidP="00CD3A4B">
            <w:pPr>
              <w:spacing w:after="0" w:line="240" w:lineRule="auto"/>
              <w:rPr>
                <w:rFonts w:ascii="Times New Roman" w:eastAsia="Times New Roman" w:hAnsi="Times New Roman" w:cs="Times New Roman"/>
                <w:color w:val="000000"/>
                <w:sz w:val="18"/>
                <w:szCs w:val="18"/>
              </w:rPr>
            </w:pPr>
          </w:p>
        </w:tc>
      </w:tr>
      <w:tr w:rsidR="00CD3A4B" w:rsidRPr="00BC11E0" w:rsidTr="00BC11E0">
        <w:trPr>
          <w:trHeight w:val="315"/>
          <w:jc w:val="center"/>
        </w:trPr>
        <w:tc>
          <w:tcPr>
            <w:tcW w:w="2846"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Turfcide 400 4SC 8.0 fl oz</w:t>
            </w:r>
          </w:p>
        </w:tc>
        <w:tc>
          <w:tcPr>
            <w:tcW w:w="1379"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w:t>
            </w:r>
          </w:p>
        </w:tc>
        <w:tc>
          <w:tcPr>
            <w:tcW w:w="1255" w:type="dxa"/>
            <w:tcBorders>
              <w:top w:val="single" w:sz="4" w:space="0" w:color="auto"/>
              <w:left w:val="nil"/>
              <w:bottom w:val="single" w:sz="4" w:space="0" w:color="auto"/>
              <w:right w:val="nil"/>
            </w:tcBorders>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4 wk</w:t>
            </w:r>
          </w:p>
        </w:tc>
        <w:tc>
          <w:tcPr>
            <w:tcW w:w="794"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0.1</w:t>
            </w:r>
          </w:p>
        </w:tc>
        <w:tc>
          <w:tcPr>
            <w:tcW w:w="74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d</w:t>
            </w:r>
          </w:p>
        </w:tc>
        <w:tc>
          <w:tcPr>
            <w:tcW w:w="803"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7.3</w:t>
            </w:r>
          </w:p>
        </w:tc>
        <w:tc>
          <w:tcPr>
            <w:tcW w:w="805"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ab</w:t>
            </w:r>
          </w:p>
        </w:tc>
      </w:tr>
      <w:tr w:rsidR="00CD3A4B" w:rsidRPr="00BC11E0" w:rsidTr="00BC11E0">
        <w:trPr>
          <w:trHeight w:val="287"/>
          <w:jc w:val="center"/>
        </w:trPr>
        <w:tc>
          <w:tcPr>
            <w:tcW w:w="2846" w:type="dxa"/>
            <w:tcBorders>
              <w:top w:val="single" w:sz="4" w:space="0" w:color="auto"/>
              <w:left w:val="nil"/>
              <w:bottom w:val="nil"/>
              <w:right w:val="nil"/>
            </w:tcBorders>
            <w:shd w:val="clear" w:color="auto" w:fill="auto"/>
            <w:vAlign w:val="center"/>
            <w:hideMark/>
          </w:tcPr>
          <w:p w:rsidR="00CD3A4B" w:rsidRPr="00BC11E0" w:rsidRDefault="00CD3A4B" w:rsidP="00CD3A4B">
            <w:pPr>
              <w:spacing w:after="0" w:line="240" w:lineRule="auto"/>
              <w:ind w:left="360" w:hanging="360"/>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vertAlign w:val="superscript"/>
              </w:rPr>
              <w:t>z</w:t>
            </w:r>
            <w:r w:rsidRPr="00BC11E0">
              <w:rPr>
                <w:rFonts w:ascii="Times New Roman" w:eastAsia="Times New Roman" w:hAnsi="Times New Roman" w:cs="Times New Roman"/>
                <w:color w:val="000000"/>
                <w:sz w:val="18"/>
                <w:szCs w:val="18"/>
              </w:rPr>
              <w:t xml:space="preserve">   Initiated 26 Jan</w:t>
            </w:r>
          </w:p>
        </w:tc>
        <w:tc>
          <w:tcPr>
            <w:tcW w:w="1379" w:type="dxa"/>
            <w:tcBorders>
              <w:top w:val="single" w:sz="4" w:space="0" w:color="auto"/>
              <w:left w:val="nil"/>
              <w:bottom w:val="nil"/>
              <w:right w:val="nil"/>
            </w:tcBorders>
          </w:tcPr>
          <w:p w:rsidR="00CD3A4B" w:rsidRPr="00BC11E0" w:rsidRDefault="00CD3A4B" w:rsidP="00CD3A4B">
            <w:pPr>
              <w:spacing w:after="0" w:line="240" w:lineRule="auto"/>
              <w:ind w:left="360" w:hanging="360"/>
              <w:rPr>
                <w:rFonts w:ascii="Times New Roman" w:eastAsia="Times New Roman" w:hAnsi="Times New Roman" w:cs="Times New Roman"/>
                <w:color w:val="000000"/>
                <w:sz w:val="18"/>
                <w:szCs w:val="18"/>
              </w:rPr>
            </w:pPr>
          </w:p>
        </w:tc>
        <w:tc>
          <w:tcPr>
            <w:tcW w:w="1255" w:type="dxa"/>
            <w:tcBorders>
              <w:top w:val="single" w:sz="4" w:space="0" w:color="auto"/>
              <w:left w:val="nil"/>
              <w:bottom w:val="nil"/>
              <w:right w:val="nil"/>
            </w:tcBorders>
          </w:tcPr>
          <w:p w:rsidR="00CD3A4B" w:rsidRPr="00BC11E0" w:rsidRDefault="00CD3A4B" w:rsidP="00CD3A4B">
            <w:pPr>
              <w:spacing w:after="0" w:line="240" w:lineRule="auto"/>
              <w:ind w:left="360" w:hanging="360"/>
              <w:rPr>
                <w:rFonts w:ascii="Times New Roman" w:eastAsia="Times New Roman" w:hAnsi="Times New Roman" w:cs="Times New Roman"/>
                <w:color w:val="000000"/>
                <w:sz w:val="18"/>
                <w:szCs w:val="18"/>
              </w:rPr>
            </w:pPr>
          </w:p>
        </w:tc>
        <w:tc>
          <w:tcPr>
            <w:tcW w:w="794" w:type="dxa"/>
            <w:tcBorders>
              <w:top w:val="single" w:sz="4" w:space="0" w:color="auto"/>
              <w:left w:val="nil"/>
              <w:bottom w:val="nil"/>
              <w:right w:val="nil"/>
            </w:tcBorders>
            <w:shd w:val="clear" w:color="auto" w:fill="auto"/>
            <w:noWrap/>
            <w:vAlign w:val="bottom"/>
            <w:hideMark/>
          </w:tcPr>
          <w:p w:rsidR="00CD3A4B" w:rsidRPr="00BC11E0" w:rsidRDefault="00CD3A4B" w:rsidP="00CD3A4B">
            <w:pPr>
              <w:spacing w:after="0" w:line="240" w:lineRule="auto"/>
              <w:ind w:left="360" w:hanging="360"/>
              <w:rPr>
                <w:rFonts w:ascii="Times New Roman" w:eastAsia="Times New Roman" w:hAnsi="Times New Roman" w:cs="Times New Roman"/>
                <w:color w:val="000000"/>
                <w:sz w:val="18"/>
                <w:szCs w:val="18"/>
              </w:rPr>
            </w:pPr>
          </w:p>
        </w:tc>
        <w:tc>
          <w:tcPr>
            <w:tcW w:w="742" w:type="dxa"/>
            <w:tcBorders>
              <w:top w:val="single" w:sz="4" w:space="0" w:color="auto"/>
              <w:left w:val="nil"/>
              <w:bottom w:val="nil"/>
              <w:right w:val="nil"/>
            </w:tcBorders>
            <w:shd w:val="clear" w:color="auto" w:fill="auto"/>
            <w:noWrap/>
            <w:vAlign w:val="bottom"/>
            <w:hideMark/>
          </w:tcPr>
          <w:p w:rsidR="00CD3A4B" w:rsidRPr="00BC11E0" w:rsidRDefault="00CD3A4B" w:rsidP="00CD3A4B">
            <w:pPr>
              <w:spacing w:after="0" w:line="240" w:lineRule="auto"/>
              <w:ind w:left="360" w:hanging="360"/>
              <w:rPr>
                <w:rFonts w:ascii="Times New Roman" w:eastAsia="Times New Roman" w:hAnsi="Times New Roman" w:cs="Times New Roman"/>
                <w:sz w:val="18"/>
                <w:szCs w:val="18"/>
              </w:rPr>
            </w:pPr>
          </w:p>
        </w:tc>
        <w:tc>
          <w:tcPr>
            <w:tcW w:w="803" w:type="dxa"/>
            <w:tcBorders>
              <w:top w:val="single" w:sz="4" w:space="0" w:color="auto"/>
              <w:left w:val="nil"/>
              <w:bottom w:val="nil"/>
              <w:right w:val="nil"/>
            </w:tcBorders>
            <w:shd w:val="clear" w:color="auto" w:fill="auto"/>
            <w:noWrap/>
            <w:vAlign w:val="bottom"/>
            <w:hideMark/>
          </w:tcPr>
          <w:p w:rsidR="00CD3A4B" w:rsidRPr="00BC11E0" w:rsidRDefault="00CD3A4B" w:rsidP="00CD3A4B">
            <w:pPr>
              <w:spacing w:after="0" w:line="240" w:lineRule="auto"/>
              <w:ind w:left="360" w:hanging="360"/>
              <w:rPr>
                <w:rFonts w:ascii="Times New Roman" w:eastAsia="Times New Roman" w:hAnsi="Times New Roman" w:cs="Times New Roman"/>
                <w:sz w:val="18"/>
                <w:szCs w:val="18"/>
              </w:rPr>
            </w:pPr>
          </w:p>
        </w:tc>
        <w:tc>
          <w:tcPr>
            <w:tcW w:w="805" w:type="dxa"/>
            <w:tcBorders>
              <w:top w:val="single" w:sz="4" w:space="0" w:color="auto"/>
              <w:left w:val="nil"/>
              <w:bottom w:val="nil"/>
              <w:right w:val="nil"/>
            </w:tcBorders>
            <w:shd w:val="clear" w:color="auto" w:fill="auto"/>
            <w:noWrap/>
            <w:vAlign w:val="bottom"/>
            <w:hideMark/>
          </w:tcPr>
          <w:p w:rsidR="00CD3A4B" w:rsidRPr="00BC11E0" w:rsidRDefault="00CD3A4B" w:rsidP="00CD3A4B">
            <w:pPr>
              <w:spacing w:after="0" w:line="240" w:lineRule="auto"/>
              <w:ind w:left="360" w:hanging="360"/>
              <w:rPr>
                <w:rFonts w:ascii="Times New Roman" w:eastAsia="Times New Roman" w:hAnsi="Times New Roman" w:cs="Times New Roman"/>
                <w:sz w:val="18"/>
                <w:szCs w:val="18"/>
              </w:rPr>
            </w:pPr>
          </w:p>
        </w:tc>
      </w:tr>
      <w:tr w:rsidR="00CD3A4B" w:rsidRPr="00BC11E0" w:rsidTr="00BC11E0">
        <w:trPr>
          <w:trHeight w:val="80"/>
          <w:jc w:val="center"/>
        </w:trPr>
        <w:tc>
          <w:tcPr>
            <w:tcW w:w="8624" w:type="dxa"/>
            <w:gridSpan w:val="7"/>
            <w:tcBorders>
              <w:top w:val="nil"/>
              <w:left w:val="nil"/>
              <w:bottom w:val="nil"/>
              <w:right w:val="nil"/>
            </w:tcBorders>
          </w:tcPr>
          <w:p w:rsidR="00CD3A4B" w:rsidRPr="00BC11E0" w:rsidRDefault="00CD3A4B" w:rsidP="00CD3A4B">
            <w:pPr>
              <w:spacing w:after="0" w:line="240" w:lineRule="auto"/>
              <w:ind w:left="360" w:hanging="360"/>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vertAlign w:val="superscript"/>
              </w:rPr>
              <w:t>y</w:t>
            </w:r>
            <w:r w:rsidRPr="00BC11E0">
              <w:rPr>
                <w:rFonts w:ascii="Times New Roman" w:eastAsia="Times New Roman" w:hAnsi="Times New Roman" w:cs="Times New Roman"/>
                <w:color w:val="000000"/>
                <w:sz w:val="18"/>
                <w:szCs w:val="18"/>
              </w:rPr>
              <w:t xml:space="preserve">  Mean disease severity ratings are based on a 0 to 100% scale in three replicated plots.  Means followed by the same letter are not significantly different according to Fisher’s protected LSD (α=0.05).</w:t>
            </w:r>
          </w:p>
        </w:tc>
      </w:tr>
      <w:tr w:rsidR="00CD3A4B" w:rsidRPr="00BC11E0" w:rsidTr="00BC11E0">
        <w:trPr>
          <w:trHeight w:val="80"/>
          <w:jc w:val="center"/>
        </w:trPr>
        <w:tc>
          <w:tcPr>
            <w:tcW w:w="8624" w:type="dxa"/>
            <w:gridSpan w:val="7"/>
            <w:tcBorders>
              <w:top w:val="nil"/>
              <w:left w:val="nil"/>
              <w:bottom w:val="nil"/>
              <w:right w:val="nil"/>
            </w:tcBorders>
          </w:tcPr>
          <w:p w:rsidR="00CD3A4B" w:rsidRPr="00BC11E0" w:rsidRDefault="00CD3A4B" w:rsidP="00CD3A4B">
            <w:pPr>
              <w:spacing w:after="0" w:line="240" w:lineRule="auto"/>
              <w:ind w:left="360" w:hanging="360"/>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vertAlign w:val="superscript"/>
              </w:rPr>
              <w:t xml:space="preserve">x </w:t>
            </w:r>
            <w:r w:rsidRPr="00BC11E0">
              <w:rPr>
                <w:rFonts w:ascii="Times New Roman" w:eastAsia="Times New Roman" w:hAnsi="Times New Roman" w:cs="Times New Roman"/>
                <w:color w:val="000000"/>
                <w:sz w:val="18"/>
                <w:szCs w:val="18"/>
              </w:rPr>
              <w:t xml:space="preserve"> Turf quality ratings are based on 1 – 9 scale (9 = best, 6.0 is acceptable).  Means followed by the same letter are not significantly different according to Fisher’s protected LSD (α=0.05).</w:t>
            </w:r>
          </w:p>
        </w:tc>
      </w:tr>
    </w:tbl>
    <w:p w:rsidR="00BC11E0" w:rsidRDefault="00BC11E0" w:rsidP="00CD3A4B">
      <w:pPr>
        <w:tabs>
          <w:tab w:val="left" w:pos="6300"/>
        </w:tabs>
        <w:rPr>
          <w:sz w:val="18"/>
          <w:szCs w:val="18"/>
        </w:rPr>
      </w:pPr>
    </w:p>
    <w:p w:rsidR="00BC11E0" w:rsidRDefault="00BC11E0">
      <w:pPr>
        <w:rPr>
          <w:sz w:val="18"/>
          <w:szCs w:val="18"/>
        </w:rPr>
      </w:pPr>
      <w:r>
        <w:rPr>
          <w:sz w:val="18"/>
          <w:szCs w:val="18"/>
        </w:rPr>
        <w:br w:type="page"/>
      </w:r>
    </w:p>
    <w:p w:rsidR="00BC11E0" w:rsidRDefault="00BC11E0" w:rsidP="00BC11E0">
      <w:pPr>
        <w:tabs>
          <w:tab w:val="left" w:pos="6300"/>
        </w:tabs>
        <w:spacing w:after="0" w:line="240" w:lineRule="auto"/>
        <w:rPr>
          <w:rFonts w:ascii="Times New Roman" w:eastAsia="Times New Roman" w:hAnsi="Times New Roman" w:cs="Times New Roman"/>
          <w:b/>
          <w:sz w:val="20"/>
          <w:szCs w:val="20"/>
        </w:rPr>
      </w:pPr>
      <w:r w:rsidRPr="00BC11E0">
        <w:rPr>
          <w:rFonts w:ascii="Times New Roman" w:eastAsia="Times New Roman" w:hAnsi="Times New Roman" w:cs="Times New Roman"/>
          <w:b/>
          <w:sz w:val="20"/>
          <w:szCs w:val="20"/>
        </w:rPr>
        <w:lastRenderedPageBreak/>
        <w:t>Handouts</w:t>
      </w:r>
      <w:r>
        <w:rPr>
          <w:rFonts w:ascii="Times New Roman" w:eastAsia="Times New Roman" w:hAnsi="Times New Roman" w:cs="Times New Roman"/>
          <w:b/>
          <w:sz w:val="20"/>
          <w:szCs w:val="20"/>
        </w:rPr>
        <w:t xml:space="preserve">: </w:t>
      </w:r>
      <w:r w:rsidRPr="00BC11E0">
        <w:rPr>
          <w:rFonts w:ascii="Times New Roman" w:eastAsia="Times New Roman" w:hAnsi="Times New Roman" w:cs="Times New Roman"/>
          <w:sz w:val="20"/>
          <w:szCs w:val="20"/>
        </w:rPr>
        <w:t>Plant Disease Management</w:t>
      </w:r>
      <w:r w:rsidR="00CA7BC1">
        <w:rPr>
          <w:rFonts w:ascii="Times New Roman" w:eastAsia="Times New Roman" w:hAnsi="Times New Roman" w:cs="Times New Roman"/>
          <w:sz w:val="20"/>
          <w:szCs w:val="20"/>
        </w:rPr>
        <w:t xml:space="preserve"> Report. Volume 11, In Press (February 28, 2017)</w:t>
      </w:r>
    </w:p>
    <w:p w:rsidR="00BC11E0" w:rsidRDefault="00BC11E0" w:rsidP="00CD3A4B">
      <w:pPr>
        <w:tabs>
          <w:tab w:val="left" w:pos="6300"/>
        </w:tabs>
        <w:rPr>
          <w:rFonts w:ascii="Times New Roman" w:hAnsi="Times New Roman" w:cs="Times New Roman"/>
          <w:sz w:val="18"/>
          <w:szCs w:val="18"/>
        </w:rPr>
      </w:pPr>
    </w:p>
    <w:p w:rsidR="00CD3A4B" w:rsidRPr="00640455" w:rsidRDefault="00CD3A4B" w:rsidP="00640455">
      <w:pPr>
        <w:pStyle w:val="NoSpacing"/>
        <w:jc w:val="right"/>
        <w:rPr>
          <w:rFonts w:ascii="Times New Roman" w:hAnsi="Times New Roman" w:cs="Times New Roman"/>
          <w:sz w:val="18"/>
          <w:szCs w:val="18"/>
        </w:rPr>
      </w:pPr>
      <w:r w:rsidRPr="00640455">
        <w:rPr>
          <w:rFonts w:ascii="Times New Roman" w:hAnsi="Times New Roman" w:cs="Times New Roman"/>
          <w:sz w:val="18"/>
          <w:szCs w:val="18"/>
        </w:rPr>
        <w:t>ANNUAL BLUEGRASS (</w:t>
      </w:r>
      <w:r w:rsidRPr="00640455">
        <w:rPr>
          <w:rFonts w:ascii="Times New Roman" w:hAnsi="Times New Roman" w:cs="Times New Roman"/>
          <w:i/>
          <w:sz w:val="18"/>
          <w:szCs w:val="18"/>
        </w:rPr>
        <w:t>Poa annua</w:t>
      </w:r>
      <w:r w:rsidRPr="00640455">
        <w:rPr>
          <w:rFonts w:ascii="Times New Roman" w:hAnsi="Times New Roman" w:cs="Times New Roman"/>
          <w:sz w:val="18"/>
          <w:szCs w:val="18"/>
        </w:rPr>
        <w:t>)</w:t>
      </w:r>
      <w:r w:rsidRPr="00640455">
        <w:rPr>
          <w:rFonts w:ascii="Times New Roman" w:hAnsi="Times New Roman" w:cs="Times New Roman"/>
          <w:sz w:val="18"/>
          <w:szCs w:val="18"/>
        </w:rPr>
        <w:tab/>
      </w:r>
      <w:r w:rsidR="00640455" w:rsidRPr="00640455">
        <w:rPr>
          <w:rFonts w:ascii="Times New Roman" w:hAnsi="Times New Roman" w:cs="Times New Roman"/>
          <w:sz w:val="18"/>
          <w:szCs w:val="18"/>
        </w:rPr>
        <w:tab/>
      </w:r>
      <w:r w:rsidR="00640455" w:rsidRPr="00640455">
        <w:rPr>
          <w:rFonts w:ascii="Times New Roman" w:hAnsi="Times New Roman" w:cs="Times New Roman"/>
          <w:sz w:val="18"/>
          <w:szCs w:val="18"/>
        </w:rPr>
        <w:tab/>
      </w:r>
      <w:r w:rsidR="00640455">
        <w:rPr>
          <w:rFonts w:ascii="Times New Roman" w:hAnsi="Times New Roman" w:cs="Times New Roman"/>
          <w:sz w:val="18"/>
          <w:szCs w:val="18"/>
        </w:rPr>
        <w:t xml:space="preserve">                                 </w:t>
      </w:r>
      <w:r w:rsidR="00640455" w:rsidRPr="00640455">
        <w:rPr>
          <w:rFonts w:ascii="Times New Roman" w:hAnsi="Times New Roman" w:cs="Times New Roman"/>
          <w:sz w:val="18"/>
          <w:szCs w:val="18"/>
        </w:rPr>
        <w:tab/>
      </w:r>
      <w:r w:rsidRPr="00640455">
        <w:rPr>
          <w:rFonts w:ascii="Times New Roman" w:hAnsi="Times New Roman" w:cs="Times New Roman"/>
          <w:sz w:val="18"/>
          <w:szCs w:val="18"/>
        </w:rPr>
        <w:t>B.W. McDonald, and A.R. Kowalewski</w:t>
      </w:r>
    </w:p>
    <w:p w:rsidR="00CD3A4B" w:rsidRPr="00640455" w:rsidRDefault="00CD3A4B" w:rsidP="00640455">
      <w:pPr>
        <w:tabs>
          <w:tab w:val="left" w:pos="6300"/>
        </w:tabs>
        <w:ind w:left="720"/>
        <w:jc w:val="right"/>
        <w:rPr>
          <w:rFonts w:ascii="Times New Roman" w:hAnsi="Times New Roman" w:cs="Times New Roman"/>
          <w:b/>
          <w:sz w:val="18"/>
          <w:szCs w:val="18"/>
        </w:rPr>
      </w:pPr>
      <w:r w:rsidRPr="00640455">
        <w:rPr>
          <w:rFonts w:ascii="Times New Roman" w:hAnsi="Times New Roman" w:cs="Times New Roman"/>
          <w:sz w:val="18"/>
          <w:szCs w:val="18"/>
        </w:rPr>
        <w:t>Microdochium patch (</w:t>
      </w:r>
      <w:r w:rsidRPr="00640455">
        <w:rPr>
          <w:rFonts w:ascii="Times New Roman" w:hAnsi="Times New Roman" w:cs="Times New Roman"/>
          <w:i/>
          <w:sz w:val="18"/>
          <w:szCs w:val="18"/>
        </w:rPr>
        <w:t>Microdochium nivale</w:t>
      </w:r>
      <w:r w:rsidRPr="00640455">
        <w:rPr>
          <w:rFonts w:ascii="Times New Roman" w:hAnsi="Times New Roman" w:cs="Times New Roman"/>
          <w:sz w:val="18"/>
          <w:szCs w:val="18"/>
        </w:rPr>
        <w:t>)</w:t>
      </w:r>
      <w:r w:rsidRPr="00640455">
        <w:rPr>
          <w:rFonts w:ascii="Times New Roman" w:hAnsi="Times New Roman" w:cs="Times New Roman"/>
          <w:sz w:val="18"/>
          <w:szCs w:val="18"/>
        </w:rPr>
        <w:tab/>
      </w:r>
      <w:r w:rsidR="00640455" w:rsidRPr="00640455">
        <w:rPr>
          <w:rFonts w:ascii="Times New Roman" w:hAnsi="Times New Roman" w:cs="Times New Roman"/>
          <w:sz w:val="18"/>
          <w:szCs w:val="18"/>
        </w:rPr>
        <w:t xml:space="preserve">                        Department of Horticulture</w:t>
      </w:r>
      <w:r w:rsidR="00640455" w:rsidRPr="00640455">
        <w:rPr>
          <w:rFonts w:ascii="Times New Roman" w:hAnsi="Times New Roman" w:cs="Times New Roman"/>
          <w:sz w:val="18"/>
          <w:szCs w:val="18"/>
        </w:rPr>
        <w:br/>
      </w:r>
      <w:r w:rsidRPr="00640455">
        <w:rPr>
          <w:rFonts w:ascii="Times New Roman" w:hAnsi="Times New Roman" w:cs="Times New Roman"/>
          <w:sz w:val="18"/>
          <w:szCs w:val="18"/>
        </w:rPr>
        <w:t>4017 ALS</w:t>
      </w:r>
      <w:r w:rsidRPr="00640455">
        <w:rPr>
          <w:rFonts w:ascii="Times New Roman" w:hAnsi="Times New Roman" w:cs="Times New Roman"/>
          <w:sz w:val="18"/>
          <w:szCs w:val="18"/>
        </w:rPr>
        <w:br/>
      </w:r>
      <w:r w:rsidRPr="00640455">
        <w:rPr>
          <w:rFonts w:ascii="Times New Roman" w:hAnsi="Times New Roman" w:cs="Times New Roman"/>
          <w:sz w:val="18"/>
          <w:szCs w:val="18"/>
        </w:rPr>
        <w:tab/>
        <w:t>Oregon State University</w:t>
      </w:r>
      <w:r w:rsidRPr="00640455">
        <w:rPr>
          <w:rFonts w:ascii="Times New Roman" w:hAnsi="Times New Roman" w:cs="Times New Roman"/>
          <w:sz w:val="18"/>
          <w:szCs w:val="18"/>
        </w:rPr>
        <w:br/>
      </w:r>
      <w:r w:rsidRPr="00640455">
        <w:rPr>
          <w:rFonts w:ascii="Times New Roman" w:hAnsi="Times New Roman" w:cs="Times New Roman"/>
          <w:sz w:val="18"/>
          <w:szCs w:val="18"/>
        </w:rPr>
        <w:tab/>
        <w:t>Corvallis, OR 97331</w:t>
      </w:r>
    </w:p>
    <w:p w:rsidR="00CD3A4B" w:rsidRPr="00BC11E0" w:rsidRDefault="00CD3A4B" w:rsidP="00CD3A4B">
      <w:pPr>
        <w:rPr>
          <w:rFonts w:ascii="Times New Roman" w:hAnsi="Times New Roman" w:cs="Times New Roman"/>
          <w:b/>
          <w:sz w:val="18"/>
          <w:szCs w:val="18"/>
        </w:rPr>
      </w:pPr>
      <w:r w:rsidRPr="00BC11E0">
        <w:rPr>
          <w:rFonts w:ascii="Times New Roman" w:hAnsi="Times New Roman" w:cs="Times New Roman"/>
          <w:b/>
          <w:sz w:val="18"/>
          <w:szCs w:val="18"/>
        </w:rPr>
        <w:t>Effect of fungicides on Microdochium patch in western Oregon, 2016.</w:t>
      </w:r>
    </w:p>
    <w:p w:rsidR="00CD3A4B" w:rsidRPr="00BC11E0" w:rsidRDefault="00CD3A4B" w:rsidP="00CD3A4B">
      <w:pPr>
        <w:rPr>
          <w:rFonts w:ascii="Times New Roman" w:hAnsi="Times New Roman" w:cs="Times New Roman"/>
          <w:sz w:val="18"/>
          <w:szCs w:val="18"/>
        </w:rPr>
      </w:pPr>
      <w:r w:rsidRPr="00BC11E0">
        <w:rPr>
          <w:rFonts w:ascii="Times New Roman" w:hAnsi="Times New Roman" w:cs="Times New Roman"/>
          <w:sz w:val="18"/>
          <w:szCs w:val="18"/>
        </w:rPr>
        <w:t xml:space="preserve">The primary objective of this research was to evaluate the effects of fungicides on Microdochium patch when applied to an annual bluegrass putting green maintained at a 0.15 in. height in western Oregon. A secondary objective was to determine the number of sequential fungicide applications required to control the disease after making 2 initial applications using a scout and treat approach.   Research was conducted on a native soil (Malabon silty, clay, loam) research putting green capped with a 6 in. layer of sand meeting United States Golf Association specifications at the Oregon State University Lewis-Brown Horticulture Farm in Corvallis, OR.  Experimental design was a randomized complete block with four replications.  The individual plot size was 6 ft by 5 ft  All fungicides were applied on 25 Jan and 8 </w:t>
      </w:r>
      <w:r w:rsidRPr="00BC11E0">
        <w:rPr>
          <w:rFonts w:ascii="Times New Roman" w:hAnsi="Times New Roman" w:cs="Times New Roman"/>
          <w:color w:val="000000"/>
          <w:sz w:val="18"/>
          <w:szCs w:val="18"/>
        </w:rPr>
        <w:t xml:space="preserve">Feb, additional applications were made only when treatments were deemed unacceptable due to symptom development and reductions in turfgrass quality, but not sooner than 14 days after the last application. </w:t>
      </w:r>
      <w:r w:rsidRPr="00BC11E0">
        <w:rPr>
          <w:rFonts w:ascii="Times New Roman" w:hAnsi="Times New Roman" w:cs="Times New Roman"/>
          <w:sz w:val="18"/>
          <w:szCs w:val="18"/>
        </w:rPr>
        <w:t xml:space="preserve"> Fungicide treatments were applied with a CO</w:t>
      </w:r>
      <w:r w:rsidRPr="00BC11E0">
        <w:rPr>
          <w:rFonts w:ascii="Times New Roman" w:hAnsi="Times New Roman" w:cs="Times New Roman"/>
          <w:sz w:val="18"/>
          <w:szCs w:val="18"/>
          <w:vertAlign w:val="subscript"/>
        </w:rPr>
        <w:t>2</w:t>
      </w:r>
      <w:r w:rsidRPr="00BC11E0">
        <w:rPr>
          <w:rFonts w:ascii="Times New Roman" w:hAnsi="Times New Roman" w:cs="Times New Roman"/>
          <w:sz w:val="18"/>
          <w:szCs w:val="18"/>
        </w:rPr>
        <w:t>-powered two-wheeled sprayer with a 4 ft boom and TeeJet 80015 nozzles spraying 2 gallons of spray solution per 1,000 ft</w:t>
      </w:r>
      <w:r w:rsidRPr="00BC11E0">
        <w:rPr>
          <w:rFonts w:ascii="Times New Roman" w:hAnsi="Times New Roman" w:cs="Times New Roman"/>
          <w:sz w:val="18"/>
          <w:szCs w:val="18"/>
          <w:vertAlign w:val="superscript"/>
        </w:rPr>
        <w:t>2</w:t>
      </w:r>
      <w:r w:rsidRPr="00BC11E0">
        <w:rPr>
          <w:rFonts w:ascii="Times New Roman" w:hAnsi="Times New Roman" w:cs="Times New Roman"/>
          <w:sz w:val="18"/>
          <w:szCs w:val="18"/>
        </w:rPr>
        <w:t xml:space="preserve"> at 40 psi.  Percent disease was assessed on a 0-100% scale, while turf quality ratings were made on a 1 to 9 scale, with 1= worst quality and 9=best.  Percent disease and turf quality were collected throughout the duration of the study (25 Jan to 18 Apr) data collected at the peak of disease (4 Apr) are the only observation date presented.  Data were subjected to analysis of variance and differences between means were determined by Fisher’s protected LSD at the 0.05 level of probability.  </w:t>
      </w:r>
    </w:p>
    <w:p w:rsidR="00CD3A4B" w:rsidRPr="00BC11E0" w:rsidRDefault="00CD3A4B" w:rsidP="00CD3A4B">
      <w:pPr>
        <w:rPr>
          <w:rFonts w:ascii="Times New Roman" w:hAnsi="Times New Roman" w:cs="Times New Roman"/>
          <w:sz w:val="18"/>
          <w:szCs w:val="18"/>
        </w:rPr>
      </w:pPr>
      <w:r w:rsidRPr="00BC11E0">
        <w:rPr>
          <w:rFonts w:ascii="Times New Roman" w:hAnsi="Times New Roman" w:cs="Times New Roman"/>
          <w:sz w:val="18"/>
          <w:szCs w:val="18"/>
        </w:rPr>
        <w:t xml:space="preserve">Applications of Appear, Contend A, Contend B and Banner Maxx II resulted in the lowest percent disease (0.0 to 0.2%), followed by Heritage Action (20.8%) and finally the control, which had the highest percent disease (27.5%) at the peak of disease.  Regarding turf quality, Appear and Contend A provided the highest quality (7.5 and 7.4, respectively), followed by Contend B and Banner Maxx II (6.6) and finally Heritage Action and the control (3.5 and 3.0, respectively).  From 25 Jan to 5 Apr Contend A was applied 3 and Contend B was applied 4 times using a scout and treat approach.  Appear and Banner Maxx II were applied 5 times and Heritage Action was applied 6 times using the scout and treat application approach. </w:t>
      </w:r>
    </w:p>
    <w:tbl>
      <w:tblPr>
        <w:tblW w:w="7412" w:type="dxa"/>
        <w:jc w:val="center"/>
        <w:tblLook w:val="04A0" w:firstRow="1" w:lastRow="0" w:firstColumn="1" w:lastColumn="0" w:noHBand="0" w:noVBand="1"/>
      </w:tblPr>
      <w:tblGrid>
        <w:gridCol w:w="2756"/>
        <w:gridCol w:w="1960"/>
        <w:gridCol w:w="774"/>
        <w:gridCol w:w="674"/>
        <w:gridCol w:w="721"/>
        <w:gridCol w:w="527"/>
      </w:tblGrid>
      <w:tr w:rsidR="00CD3A4B" w:rsidRPr="00BC11E0" w:rsidTr="00BC11E0">
        <w:trPr>
          <w:trHeight w:val="315"/>
          <w:jc w:val="center"/>
        </w:trPr>
        <w:tc>
          <w:tcPr>
            <w:tcW w:w="2756" w:type="dxa"/>
            <w:vMerge w:val="restart"/>
            <w:tcBorders>
              <w:top w:val="single" w:sz="4" w:space="0" w:color="auto"/>
              <w:left w:val="nil"/>
              <w:bottom w:val="single" w:sz="4" w:space="0" w:color="000000"/>
              <w:right w:val="nil"/>
            </w:tcBorders>
            <w:shd w:val="clear" w:color="auto" w:fill="auto"/>
            <w:noWrap/>
            <w:vAlign w:val="bottom"/>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Treatments, rate per 1,000 ft</w:t>
            </w:r>
            <w:r w:rsidRPr="00BC11E0">
              <w:rPr>
                <w:rFonts w:ascii="Times New Roman" w:hAnsi="Times New Roman" w:cs="Times New Roman"/>
                <w:color w:val="000000"/>
                <w:sz w:val="18"/>
                <w:szCs w:val="18"/>
                <w:vertAlign w:val="superscript"/>
              </w:rPr>
              <w:t>2z</w:t>
            </w:r>
          </w:p>
        </w:tc>
        <w:tc>
          <w:tcPr>
            <w:tcW w:w="1960" w:type="dxa"/>
            <w:vMerge w:val="restart"/>
            <w:tcBorders>
              <w:top w:val="single" w:sz="4" w:space="0" w:color="auto"/>
              <w:left w:val="nil"/>
              <w:bottom w:val="single" w:sz="4" w:space="0" w:color="000000"/>
              <w:right w:val="nil"/>
            </w:tcBorders>
            <w:shd w:val="clear" w:color="auto" w:fill="auto"/>
            <w:vAlign w:val="center"/>
            <w:hideMark/>
          </w:tcPr>
          <w:p w:rsidR="00CD3A4B" w:rsidRPr="00BC11E0" w:rsidRDefault="00CD3A4B" w:rsidP="00993212">
            <w:pPr>
              <w:jc w:val="center"/>
              <w:rPr>
                <w:rFonts w:ascii="Times New Roman" w:hAnsi="Times New Roman" w:cs="Times New Roman"/>
                <w:color w:val="000000"/>
                <w:sz w:val="18"/>
                <w:szCs w:val="18"/>
              </w:rPr>
            </w:pPr>
            <w:r w:rsidRPr="00BC11E0">
              <w:rPr>
                <w:rFonts w:ascii="Times New Roman" w:hAnsi="Times New Roman" w:cs="Times New Roman"/>
                <w:color w:val="000000"/>
                <w:sz w:val="18"/>
                <w:szCs w:val="18"/>
              </w:rPr>
              <w:t>Total applications from 25 Jan to 5 Apr</w:t>
            </w:r>
          </w:p>
        </w:tc>
        <w:tc>
          <w:tcPr>
            <w:tcW w:w="2696" w:type="dxa"/>
            <w:gridSpan w:val="4"/>
            <w:tcBorders>
              <w:top w:val="single" w:sz="4" w:space="0" w:color="auto"/>
              <w:left w:val="nil"/>
              <w:bottom w:val="single" w:sz="4" w:space="0" w:color="auto"/>
              <w:right w:val="nil"/>
            </w:tcBorders>
            <w:shd w:val="clear" w:color="auto" w:fill="auto"/>
            <w:noWrap/>
            <w:vAlign w:val="center"/>
            <w:hideMark/>
          </w:tcPr>
          <w:p w:rsidR="00CD3A4B" w:rsidRPr="00BC11E0" w:rsidRDefault="00CD3A4B" w:rsidP="00993212">
            <w:pPr>
              <w:jc w:val="center"/>
              <w:rPr>
                <w:rFonts w:ascii="Times New Roman" w:hAnsi="Times New Roman" w:cs="Times New Roman"/>
                <w:color w:val="000000"/>
                <w:sz w:val="18"/>
                <w:szCs w:val="18"/>
              </w:rPr>
            </w:pPr>
            <w:r w:rsidRPr="00BC11E0">
              <w:rPr>
                <w:rFonts w:ascii="Times New Roman" w:hAnsi="Times New Roman" w:cs="Times New Roman"/>
                <w:color w:val="000000"/>
                <w:sz w:val="18"/>
                <w:szCs w:val="18"/>
              </w:rPr>
              <w:t>Peak of disease – 4 Apr</w:t>
            </w:r>
          </w:p>
        </w:tc>
      </w:tr>
      <w:tr w:rsidR="00CD3A4B" w:rsidRPr="00BC11E0" w:rsidTr="00BC11E0">
        <w:trPr>
          <w:trHeight w:val="242"/>
          <w:jc w:val="center"/>
        </w:trPr>
        <w:tc>
          <w:tcPr>
            <w:tcW w:w="2756" w:type="dxa"/>
            <w:vMerge/>
            <w:tcBorders>
              <w:top w:val="single" w:sz="4" w:space="0" w:color="auto"/>
              <w:left w:val="nil"/>
              <w:bottom w:val="single" w:sz="4" w:space="0" w:color="000000"/>
              <w:right w:val="nil"/>
            </w:tcBorders>
            <w:vAlign w:val="center"/>
            <w:hideMark/>
          </w:tcPr>
          <w:p w:rsidR="00CD3A4B" w:rsidRPr="00BC11E0" w:rsidRDefault="00CD3A4B" w:rsidP="00993212">
            <w:pPr>
              <w:rPr>
                <w:rFonts w:ascii="Times New Roman" w:hAnsi="Times New Roman" w:cs="Times New Roman"/>
                <w:color w:val="000000"/>
                <w:sz w:val="18"/>
                <w:szCs w:val="18"/>
              </w:rPr>
            </w:pPr>
          </w:p>
        </w:tc>
        <w:tc>
          <w:tcPr>
            <w:tcW w:w="1960" w:type="dxa"/>
            <w:vMerge/>
            <w:tcBorders>
              <w:top w:val="single" w:sz="4" w:space="0" w:color="auto"/>
              <w:left w:val="nil"/>
              <w:bottom w:val="single" w:sz="4" w:space="0" w:color="000000"/>
              <w:right w:val="nil"/>
            </w:tcBorders>
            <w:vAlign w:val="center"/>
            <w:hideMark/>
          </w:tcPr>
          <w:p w:rsidR="00CD3A4B" w:rsidRPr="00BC11E0" w:rsidRDefault="00CD3A4B" w:rsidP="00993212">
            <w:pPr>
              <w:rPr>
                <w:rFonts w:ascii="Times New Roman" w:hAnsi="Times New Roman" w:cs="Times New Roman"/>
                <w:color w:val="000000"/>
                <w:sz w:val="18"/>
                <w:szCs w:val="18"/>
              </w:rPr>
            </w:pPr>
          </w:p>
        </w:tc>
        <w:tc>
          <w:tcPr>
            <w:tcW w:w="1448" w:type="dxa"/>
            <w:gridSpan w:val="2"/>
            <w:tcBorders>
              <w:top w:val="nil"/>
              <w:left w:val="nil"/>
              <w:bottom w:val="single" w:sz="4" w:space="0" w:color="auto"/>
              <w:right w:val="nil"/>
            </w:tcBorders>
            <w:shd w:val="clear" w:color="auto" w:fill="auto"/>
            <w:vAlign w:val="center"/>
            <w:hideMark/>
          </w:tcPr>
          <w:p w:rsidR="00BC11E0" w:rsidRDefault="00CD3A4B" w:rsidP="00993212">
            <w:pPr>
              <w:jc w:val="center"/>
              <w:rPr>
                <w:rFonts w:ascii="Times New Roman" w:hAnsi="Times New Roman" w:cs="Times New Roman"/>
                <w:color w:val="000000"/>
                <w:sz w:val="18"/>
                <w:szCs w:val="18"/>
              </w:rPr>
            </w:pPr>
            <w:r w:rsidRPr="00BC11E0">
              <w:rPr>
                <w:rFonts w:ascii="Times New Roman" w:hAnsi="Times New Roman" w:cs="Times New Roman"/>
                <w:color w:val="000000"/>
                <w:sz w:val="18"/>
                <w:szCs w:val="18"/>
              </w:rPr>
              <w:t xml:space="preserve">Percent disease </w:t>
            </w:r>
          </w:p>
          <w:p w:rsidR="00CD3A4B" w:rsidRPr="00BC11E0" w:rsidRDefault="00CD3A4B" w:rsidP="00993212">
            <w:pPr>
              <w:jc w:val="center"/>
              <w:rPr>
                <w:rFonts w:ascii="Times New Roman" w:hAnsi="Times New Roman" w:cs="Times New Roman"/>
                <w:color w:val="000000"/>
                <w:sz w:val="18"/>
                <w:szCs w:val="18"/>
              </w:rPr>
            </w:pPr>
            <w:r w:rsidRPr="00BC11E0">
              <w:rPr>
                <w:rFonts w:ascii="Times New Roman" w:hAnsi="Times New Roman" w:cs="Times New Roman"/>
                <w:color w:val="000000"/>
                <w:sz w:val="18"/>
                <w:szCs w:val="18"/>
              </w:rPr>
              <w:t>(0-100%)</w:t>
            </w:r>
            <w:r w:rsidRPr="00BC11E0">
              <w:rPr>
                <w:rFonts w:ascii="Times New Roman" w:hAnsi="Times New Roman" w:cs="Times New Roman"/>
                <w:color w:val="000000"/>
                <w:sz w:val="18"/>
                <w:szCs w:val="18"/>
                <w:vertAlign w:val="superscript"/>
              </w:rPr>
              <w:t>y</w:t>
            </w:r>
            <w:r w:rsidRPr="00BC11E0">
              <w:rPr>
                <w:rFonts w:ascii="Times New Roman" w:hAnsi="Times New Roman" w:cs="Times New Roman"/>
                <w:color w:val="000000"/>
                <w:sz w:val="18"/>
                <w:szCs w:val="18"/>
              </w:rPr>
              <w:t xml:space="preserve"> </w:t>
            </w:r>
          </w:p>
        </w:tc>
        <w:tc>
          <w:tcPr>
            <w:tcW w:w="1248" w:type="dxa"/>
            <w:gridSpan w:val="2"/>
            <w:tcBorders>
              <w:top w:val="nil"/>
              <w:left w:val="nil"/>
              <w:bottom w:val="single" w:sz="4" w:space="0" w:color="auto"/>
              <w:right w:val="nil"/>
            </w:tcBorders>
            <w:shd w:val="clear" w:color="auto" w:fill="auto"/>
            <w:vAlign w:val="center"/>
            <w:hideMark/>
          </w:tcPr>
          <w:p w:rsidR="00BC11E0" w:rsidRDefault="00CD3A4B" w:rsidP="00993212">
            <w:pPr>
              <w:jc w:val="center"/>
              <w:rPr>
                <w:rFonts w:ascii="Times New Roman" w:hAnsi="Times New Roman" w:cs="Times New Roman"/>
                <w:color w:val="000000"/>
                <w:sz w:val="18"/>
                <w:szCs w:val="18"/>
              </w:rPr>
            </w:pPr>
            <w:r w:rsidRPr="00BC11E0">
              <w:rPr>
                <w:rFonts w:ascii="Times New Roman" w:hAnsi="Times New Roman" w:cs="Times New Roman"/>
                <w:color w:val="000000"/>
                <w:sz w:val="18"/>
                <w:szCs w:val="18"/>
              </w:rPr>
              <w:t xml:space="preserve">Turf Quality </w:t>
            </w:r>
          </w:p>
          <w:p w:rsidR="00CD3A4B" w:rsidRPr="00BC11E0" w:rsidRDefault="00CD3A4B" w:rsidP="00993212">
            <w:pPr>
              <w:jc w:val="center"/>
              <w:rPr>
                <w:rFonts w:ascii="Times New Roman" w:hAnsi="Times New Roman" w:cs="Times New Roman"/>
                <w:color w:val="000000"/>
                <w:sz w:val="18"/>
                <w:szCs w:val="18"/>
              </w:rPr>
            </w:pPr>
            <w:r w:rsidRPr="00BC11E0">
              <w:rPr>
                <w:rFonts w:ascii="Times New Roman" w:hAnsi="Times New Roman" w:cs="Times New Roman"/>
                <w:color w:val="000000"/>
                <w:sz w:val="18"/>
                <w:szCs w:val="18"/>
              </w:rPr>
              <w:t>(1-9)</w:t>
            </w:r>
            <w:r w:rsidRPr="00BC11E0">
              <w:rPr>
                <w:rFonts w:ascii="Times New Roman" w:hAnsi="Times New Roman" w:cs="Times New Roman"/>
                <w:color w:val="000000"/>
                <w:sz w:val="18"/>
                <w:szCs w:val="18"/>
                <w:vertAlign w:val="superscript"/>
              </w:rPr>
              <w:t>x</w:t>
            </w:r>
          </w:p>
        </w:tc>
      </w:tr>
      <w:tr w:rsidR="00CD3A4B" w:rsidRPr="00BC11E0" w:rsidTr="00BC11E0">
        <w:trPr>
          <w:trHeight w:val="375"/>
          <w:jc w:val="center"/>
        </w:trPr>
        <w:tc>
          <w:tcPr>
            <w:tcW w:w="2756" w:type="dxa"/>
            <w:tcBorders>
              <w:top w:val="nil"/>
              <w:left w:val="nil"/>
              <w:bottom w:val="nil"/>
              <w:right w:val="nil"/>
            </w:tcBorders>
            <w:shd w:val="clear" w:color="auto" w:fill="auto"/>
            <w:noWrap/>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Appear  4.1L 6.0 fl oz</w:t>
            </w:r>
          </w:p>
        </w:tc>
        <w:tc>
          <w:tcPr>
            <w:tcW w:w="1960" w:type="dxa"/>
            <w:tcBorders>
              <w:top w:val="nil"/>
              <w:left w:val="nil"/>
              <w:bottom w:val="nil"/>
              <w:right w:val="nil"/>
            </w:tcBorders>
            <w:shd w:val="clear" w:color="auto" w:fill="auto"/>
            <w:noWrap/>
            <w:vAlign w:val="center"/>
            <w:hideMark/>
          </w:tcPr>
          <w:p w:rsidR="00CD3A4B" w:rsidRPr="00BC11E0" w:rsidRDefault="00CD3A4B" w:rsidP="00993212">
            <w:pPr>
              <w:jc w:val="center"/>
              <w:rPr>
                <w:rFonts w:ascii="Times New Roman" w:hAnsi="Times New Roman" w:cs="Times New Roman"/>
                <w:color w:val="000000"/>
                <w:sz w:val="18"/>
                <w:szCs w:val="18"/>
              </w:rPr>
            </w:pPr>
            <w:r w:rsidRPr="00BC11E0">
              <w:rPr>
                <w:rFonts w:ascii="Times New Roman" w:hAnsi="Times New Roman" w:cs="Times New Roman"/>
                <w:color w:val="000000"/>
                <w:sz w:val="18"/>
                <w:szCs w:val="18"/>
              </w:rPr>
              <w:t>5</w:t>
            </w:r>
          </w:p>
        </w:tc>
        <w:tc>
          <w:tcPr>
            <w:tcW w:w="774" w:type="dxa"/>
            <w:tcBorders>
              <w:top w:val="nil"/>
              <w:left w:val="nil"/>
              <w:bottom w:val="nil"/>
              <w:right w:val="nil"/>
            </w:tcBorders>
            <w:shd w:val="clear" w:color="auto" w:fill="auto"/>
            <w:vAlign w:val="center"/>
            <w:hideMark/>
          </w:tcPr>
          <w:p w:rsidR="00CD3A4B" w:rsidRPr="00BC11E0" w:rsidRDefault="00CD3A4B" w:rsidP="00993212">
            <w:pPr>
              <w:jc w:val="right"/>
              <w:rPr>
                <w:rFonts w:ascii="Times New Roman" w:hAnsi="Times New Roman" w:cs="Times New Roman"/>
                <w:color w:val="000000"/>
                <w:sz w:val="18"/>
                <w:szCs w:val="18"/>
              </w:rPr>
            </w:pPr>
            <w:r w:rsidRPr="00BC11E0">
              <w:rPr>
                <w:rFonts w:ascii="Times New Roman" w:hAnsi="Times New Roman" w:cs="Times New Roman"/>
                <w:color w:val="000000"/>
                <w:sz w:val="18"/>
                <w:szCs w:val="18"/>
              </w:rPr>
              <w:t>0.0</w:t>
            </w:r>
          </w:p>
        </w:tc>
        <w:tc>
          <w:tcPr>
            <w:tcW w:w="674" w:type="dxa"/>
            <w:tcBorders>
              <w:top w:val="nil"/>
              <w:left w:val="nil"/>
              <w:bottom w:val="nil"/>
              <w:right w:val="nil"/>
            </w:tcBorders>
            <w:shd w:val="clear" w:color="auto" w:fill="auto"/>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c</w:t>
            </w:r>
          </w:p>
        </w:tc>
        <w:tc>
          <w:tcPr>
            <w:tcW w:w="721" w:type="dxa"/>
            <w:tcBorders>
              <w:top w:val="nil"/>
              <w:left w:val="nil"/>
              <w:bottom w:val="nil"/>
              <w:right w:val="nil"/>
            </w:tcBorders>
            <w:shd w:val="clear" w:color="auto" w:fill="auto"/>
            <w:vAlign w:val="center"/>
            <w:hideMark/>
          </w:tcPr>
          <w:p w:rsidR="00CD3A4B" w:rsidRPr="00BC11E0" w:rsidRDefault="00CD3A4B" w:rsidP="00993212">
            <w:pPr>
              <w:jc w:val="right"/>
              <w:rPr>
                <w:rFonts w:ascii="Times New Roman" w:hAnsi="Times New Roman" w:cs="Times New Roman"/>
                <w:color w:val="000000"/>
                <w:sz w:val="18"/>
                <w:szCs w:val="18"/>
              </w:rPr>
            </w:pPr>
            <w:r w:rsidRPr="00BC11E0">
              <w:rPr>
                <w:rFonts w:ascii="Times New Roman" w:hAnsi="Times New Roman" w:cs="Times New Roman"/>
                <w:color w:val="000000"/>
                <w:sz w:val="18"/>
                <w:szCs w:val="18"/>
              </w:rPr>
              <w:t>7.5</w:t>
            </w:r>
          </w:p>
        </w:tc>
        <w:tc>
          <w:tcPr>
            <w:tcW w:w="527" w:type="dxa"/>
            <w:tcBorders>
              <w:top w:val="nil"/>
              <w:left w:val="nil"/>
              <w:bottom w:val="nil"/>
              <w:right w:val="nil"/>
            </w:tcBorders>
            <w:shd w:val="clear" w:color="auto" w:fill="auto"/>
            <w:noWrap/>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a</w:t>
            </w:r>
          </w:p>
        </w:tc>
      </w:tr>
      <w:tr w:rsidR="00CD3A4B" w:rsidRPr="00BC11E0" w:rsidTr="00BC11E0">
        <w:trPr>
          <w:trHeight w:val="375"/>
          <w:jc w:val="center"/>
        </w:trPr>
        <w:tc>
          <w:tcPr>
            <w:tcW w:w="2756" w:type="dxa"/>
            <w:tcBorders>
              <w:top w:val="nil"/>
              <w:left w:val="nil"/>
              <w:bottom w:val="nil"/>
              <w:right w:val="nil"/>
            </w:tcBorders>
            <w:shd w:val="clear" w:color="auto" w:fill="auto"/>
            <w:noWrap/>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Contend A 0.86SL 1.0 fl oz</w:t>
            </w:r>
          </w:p>
        </w:tc>
        <w:tc>
          <w:tcPr>
            <w:tcW w:w="1960" w:type="dxa"/>
            <w:tcBorders>
              <w:top w:val="nil"/>
              <w:left w:val="nil"/>
              <w:bottom w:val="nil"/>
              <w:right w:val="nil"/>
            </w:tcBorders>
            <w:shd w:val="clear" w:color="auto" w:fill="auto"/>
            <w:noWrap/>
            <w:vAlign w:val="center"/>
            <w:hideMark/>
          </w:tcPr>
          <w:p w:rsidR="00CD3A4B" w:rsidRPr="00BC11E0" w:rsidRDefault="00CD3A4B" w:rsidP="00993212">
            <w:pPr>
              <w:jc w:val="center"/>
              <w:rPr>
                <w:rFonts w:ascii="Times New Roman" w:hAnsi="Times New Roman" w:cs="Times New Roman"/>
                <w:color w:val="000000"/>
                <w:sz w:val="18"/>
                <w:szCs w:val="18"/>
              </w:rPr>
            </w:pPr>
            <w:r w:rsidRPr="00BC11E0">
              <w:rPr>
                <w:rFonts w:ascii="Times New Roman" w:hAnsi="Times New Roman" w:cs="Times New Roman"/>
                <w:color w:val="000000"/>
                <w:sz w:val="18"/>
                <w:szCs w:val="18"/>
              </w:rPr>
              <w:t>3</w:t>
            </w:r>
          </w:p>
        </w:tc>
        <w:tc>
          <w:tcPr>
            <w:tcW w:w="774" w:type="dxa"/>
            <w:tcBorders>
              <w:top w:val="nil"/>
              <w:left w:val="nil"/>
              <w:bottom w:val="nil"/>
              <w:right w:val="nil"/>
            </w:tcBorders>
            <w:shd w:val="clear" w:color="auto" w:fill="auto"/>
            <w:vAlign w:val="center"/>
            <w:hideMark/>
          </w:tcPr>
          <w:p w:rsidR="00CD3A4B" w:rsidRPr="00BC11E0" w:rsidRDefault="00CD3A4B" w:rsidP="00993212">
            <w:pPr>
              <w:jc w:val="right"/>
              <w:rPr>
                <w:rFonts w:ascii="Times New Roman" w:hAnsi="Times New Roman" w:cs="Times New Roman"/>
                <w:color w:val="000000"/>
                <w:sz w:val="18"/>
                <w:szCs w:val="18"/>
              </w:rPr>
            </w:pPr>
            <w:r w:rsidRPr="00BC11E0">
              <w:rPr>
                <w:rFonts w:ascii="Times New Roman" w:hAnsi="Times New Roman" w:cs="Times New Roman"/>
                <w:color w:val="000000"/>
                <w:sz w:val="18"/>
                <w:szCs w:val="18"/>
              </w:rPr>
              <w:t>0.1</w:t>
            </w:r>
          </w:p>
        </w:tc>
        <w:tc>
          <w:tcPr>
            <w:tcW w:w="674" w:type="dxa"/>
            <w:tcBorders>
              <w:top w:val="nil"/>
              <w:left w:val="nil"/>
              <w:bottom w:val="nil"/>
              <w:right w:val="nil"/>
            </w:tcBorders>
            <w:shd w:val="clear" w:color="auto" w:fill="auto"/>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c</w:t>
            </w:r>
          </w:p>
        </w:tc>
        <w:tc>
          <w:tcPr>
            <w:tcW w:w="721" w:type="dxa"/>
            <w:tcBorders>
              <w:top w:val="nil"/>
              <w:left w:val="nil"/>
              <w:bottom w:val="nil"/>
              <w:right w:val="nil"/>
            </w:tcBorders>
            <w:shd w:val="clear" w:color="auto" w:fill="auto"/>
            <w:vAlign w:val="center"/>
            <w:hideMark/>
          </w:tcPr>
          <w:p w:rsidR="00CD3A4B" w:rsidRPr="00BC11E0" w:rsidRDefault="00CD3A4B" w:rsidP="00993212">
            <w:pPr>
              <w:jc w:val="right"/>
              <w:rPr>
                <w:rFonts w:ascii="Times New Roman" w:hAnsi="Times New Roman" w:cs="Times New Roman"/>
                <w:color w:val="000000"/>
                <w:sz w:val="18"/>
                <w:szCs w:val="18"/>
              </w:rPr>
            </w:pPr>
            <w:r w:rsidRPr="00BC11E0">
              <w:rPr>
                <w:rFonts w:ascii="Times New Roman" w:hAnsi="Times New Roman" w:cs="Times New Roman"/>
                <w:color w:val="000000"/>
                <w:sz w:val="18"/>
                <w:szCs w:val="18"/>
              </w:rPr>
              <w:t>7.4</w:t>
            </w:r>
          </w:p>
        </w:tc>
        <w:tc>
          <w:tcPr>
            <w:tcW w:w="527" w:type="dxa"/>
            <w:tcBorders>
              <w:top w:val="nil"/>
              <w:left w:val="nil"/>
              <w:bottom w:val="nil"/>
              <w:right w:val="nil"/>
            </w:tcBorders>
            <w:shd w:val="clear" w:color="auto" w:fill="auto"/>
            <w:noWrap/>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a</w:t>
            </w:r>
          </w:p>
        </w:tc>
      </w:tr>
      <w:tr w:rsidR="00CD3A4B" w:rsidRPr="00BC11E0" w:rsidTr="00BC11E0">
        <w:trPr>
          <w:trHeight w:val="375"/>
          <w:jc w:val="center"/>
        </w:trPr>
        <w:tc>
          <w:tcPr>
            <w:tcW w:w="2756" w:type="dxa"/>
            <w:tcBorders>
              <w:top w:val="nil"/>
              <w:left w:val="nil"/>
              <w:bottom w:val="nil"/>
              <w:right w:val="nil"/>
            </w:tcBorders>
            <w:shd w:val="clear" w:color="auto" w:fill="auto"/>
            <w:noWrap/>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 xml:space="preserve">Contend B 1.66SE 2.6 fl oz </w:t>
            </w:r>
          </w:p>
        </w:tc>
        <w:tc>
          <w:tcPr>
            <w:tcW w:w="1960" w:type="dxa"/>
            <w:tcBorders>
              <w:top w:val="nil"/>
              <w:left w:val="nil"/>
              <w:bottom w:val="nil"/>
              <w:right w:val="nil"/>
            </w:tcBorders>
            <w:shd w:val="clear" w:color="auto" w:fill="auto"/>
            <w:noWrap/>
            <w:vAlign w:val="center"/>
            <w:hideMark/>
          </w:tcPr>
          <w:p w:rsidR="00CD3A4B" w:rsidRPr="00BC11E0" w:rsidRDefault="00CD3A4B" w:rsidP="00993212">
            <w:pPr>
              <w:jc w:val="center"/>
              <w:rPr>
                <w:rFonts w:ascii="Times New Roman" w:hAnsi="Times New Roman" w:cs="Times New Roman"/>
                <w:color w:val="000000"/>
                <w:sz w:val="18"/>
                <w:szCs w:val="18"/>
              </w:rPr>
            </w:pPr>
            <w:r w:rsidRPr="00BC11E0">
              <w:rPr>
                <w:rFonts w:ascii="Times New Roman" w:hAnsi="Times New Roman" w:cs="Times New Roman"/>
                <w:color w:val="000000"/>
                <w:sz w:val="18"/>
                <w:szCs w:val="18"/>
              </w:rPr>
              <w:t>4</w:t>
            </w:r>
          </w:p>
        </w:tc>
        <w:tc>
          <w:tcPr>
            <w:tcW w:w="774" w:type="dxa"/>
            <w:tcBorders>
              <w:top w:val="nil"/>
              <w:left w:val="nil"/>
              <w:bottom w:val="nil"/>
              <w:right w:val="nil"/>
            </w:tcBorders>
            <w:shd w:val="clear" w:color="auto" w:fill="auto"/>
            <w:vAlign w:val="center"/>
            <w:hideMark/>
          </w:tcPr>
          <w:p w:rsidR="00CD3A4B" w:rsidRPr="00BC11E0" w:rsidRDefault="00CD3A4B" w:rsidP="00993212">
            <w:pPr>
              <w:jc w:val="right"/>
              <w:rPr>
                <w:rFonts w:ascii="Times New Roman" w:hAnsi="Times New Roman" w:cs="Times New Roman"/>
                <w:color w:val="000000"/>
                <w:sz w:val="18"/>
                <w:szCs w:val="18"/>
              </w:rPr>
            </w:pPr>
            <w:r w:rsidRPr="00BC11E0">
              <w:rPr>
                <w:rFonts w:ascii="Times New Roman" w:hAnsi="Times New Roman" w:cs="Times New Roman"/>
                <w:color w:val="000000"/>
                <w:sz w:val="18"/>
                <w:szCs w:val="18"/>
              </w:rPr>
              <w:t>0.2</w:t>
            </w:r>
          </w:p>
        </w:tc>
        <w:tc>
          <w:tcPr>
            <w:tcW w:w="674" w:type="dxa"/>
            <w:tcBorders>
              <w:top w:val="nil"/>
              <w:left w:val="nil"/>
              <w:bottom w:val="nil"/>
              <w:right w:val="nil"/>
            </w:tcBorders>
            <w:shd w:val="clear" w:color="auto" w:fill="auto"/>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c</w:t>
            </w:r>
          </w:p>
        </w:tc>
        <w:tc>
          <w:tcPr>
            <w:tcW w:w="721" w:type="dxa"/>
            <w:tcBorders>
              <w:top w:val="nil"/>
              <w:left w:val="nil"/>
              <w:bottom w:val="nil"/>
              <w:right w:val="nil"/>
            </w:tcBorders>
            <w:shd w:val="clear" w:color="auto" w:fill="auto"/>
            <w:vAlign w:val="center"/>
            <w:hideMark/>
          </w:tcPr>
          <w:p w:rsidR="00CD3A4B" w:rsidRPr="00BC11E0" w:rsidRDefault="00CD3A4B" w:rsidP="00993212">
            <w:pPr>
              <w:jc w:val="right"/>
              <w:rPr>
                <w:rFonts w:ascii="Times New Roman" w:hAnsi="Times New Roman" w:cs="Times New Roman"/>
                <w:color w:val="000000"/>
                <w:sz w:val="18"/>
                <w:szCs w:val="18"/>
              </w:rPr>
            </w:pPr>
            <w:r w:rsidRPr="00BC11E0">
              <w:rPr>
                <w:rFonts w:ascii="Times New Roman" w:hAnsi="Times New Roman" w:cs="Times New Roman"/>
                <w:color w:val="000000"/>
                <w:sz w:val="18"/>
                <w:szCs w:val="18"/>
              </w:rPr>
              <w:t>6.6</w:t>
            </w:r>
          </w:p>
        </w:tc>
        <w:tc>
          <w:tcPr>
            <w:tcW w:w="527" w:type="dxa"/>
            <w:tcBorders>
              <w:top w:val="nil"/>
              <w:left w:val="nil"/>
              <w:bottom w:val="nil"/>
              <w:right w:val="nil"/>
            </w:tcBorders>
            <w:shd w:val="clear" w:color="auto" w:fill="auto"/>
            <w:noWrap/>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b</w:t>
            </w:r>
          </w:p>
        </w:tc>
      </w:tr>
      <w:tr w:rsidR="00CD3A4B" w:rsidRPr="00BC11E0" w:rsidTr="00BC11E0">
        <w:trPr>
          <w:trHeight w:val="375"/>
          <w:jc w:val="center"/>
        </w:trPr>
        <w:tc>
          <w:tcPr>
            <w:tcW w:w="2756" w:type="dxa"/>
            <w:tcBorders>
              <w:top w:val="nil"/>
              <w:left w:val="nil"/>
              <w:bottom w:val="nil"/>
              <w:right w:val="nil"/>
            </w:tcBorders>
            <w:shd w:val="clear" w:color="auto" w:fill="auto"/>
            <w:noWrap/>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Banner Maxx II 1.3MEC 1.0 fl oz</w:t>
            </w:r>
          </w:p>
        </w:tc>
        <w:tc>
          <w:tcPr>
            <w:tcW w:w="1960" w:type="dxa"/>
            <w:tcBorders>
              <w:top w:val="nil"/>
              <w:left w:val="nil"/>
              <w:bottom w:val="nil"/>
              <w:right w:val="nil"/>
            </w:tcBorders>
            <w:shd w:val="clear" w:color="auto" w:fill="auto"/>
            <w:noWrap/>
            <w:vAlign w:val="center"/>
            <w:hideMark/>
          </w:tcPr>
          <w:p w:rsidR="00CD3A4B" w:rsidRPr="00BC11E0" w:rsidRDefault="00CD3A4B" w:rsidP="00993212">
            <w:pPr>
              <w:jc w:val="center"/>
              <w:rPr>
                <w:rFonts w:ascii="Times New Roman" w:hAnsi="Times New Roman" w:cs="Times New Roman"/>
                <w:color w:val="000000"/>
                <w:sz w:val="18"/>
                <w:szCs w:val="18"/>
              </w:rPr>
            </w:pPr>
            <w:r w:rsidRPr="00BC11E0">
              <w:rPr>
                <w:rFonts w:ascii="Times New Roman" w:hAnsi="Times New Roman" w:cs="Times New Roman"/>
                <w:color w:val="000000"/>
                <w:sz w:val="18"/>
                <w:szCs w:val="18"/>
              </w:rPr>
              <w:t>5</w:t>
            </w:r>
          </w:p>
        </w:tc>
        <w:tc>
          <w:tcPr>
            <w:tcW w:w="774" w:type="dxa"/>
            <w:tcBorders>
              <w:top w:val="nil"/>
              <w:left w:val="nil"/>
              <w:bottom w:val="nil"/>
              <w:right w:val="nil"/>
            </w:tcBorders>
            <w:shd w:val="clear" w:color="auto" w:fill="auto"/>
            <w:vAlign w:val="center"/>
            <w:hideMark/>
          </w:tcPr>
          <w:p w:rsidR="00CD3A4B" w:rsidRPr="00BC11E0" w:rsidRDefault="00CD3A4B" w:rsidP="00993212">
            <w:pPr>
              <w:jc w:val="right"/>
              <w:rPr>
                <w:rFonts w:ascii="Times New Roman" w:hAnsi="Times New Roman" w:cs="Times New Roman"/>
                <w:color w:val="000000"/>
                <w:sz w:val="18"/>
                <w:szCs w:val="18"/>
              </w:rPr>
            </w:pPr>
            <w:r w:rsidRPr="00BC11E0">
              <w:rPr>
                <w:rFonts w:ascii="Times New Roman" w:hAnsi="Times New Roman" w:cs="Times New Roman"/>
                <w:color w:val="000000"/>
                <w:sz w:val="18"/>
                <w:szCs w:val="18"/>
              </w:rPr>
              <w:t>0.2</w:t>
            </w:r>
          </w:p>
        </w:tc>
        <w:tc>
          <w:tcPr>
            <w:tcW w:w="674" w:type="dxa"/>
            <w:tcBorders>
              <w:top w:val="nil"/>
              <w:left w:val="nil"/>
              <w:bottom w:val="nil"/>
              <w:right w:val="nil"/>
            </w:tcBorders>
            <w:shd w:val="clear" w:color="auto" w:fill="auto"/>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c</w:t>
            </w:r>
          </w:p>
        </w:tc>
        <w:tc>
          <w:tcPr>
            <w:tcW w:w="721" w:type="dxa"/>
            <w:tcBorders>
              <w:top w:val="nil"/>
              <w:left w:val="nil"/>
              <w:bottom w:val="nil"/>
              <w:right w:val="nil"/>
            </w:tcBorders>
            <w:shd w:val="clear" w:color="auto" w:fill="auto"/>
            <w:vAlign w:val="center"/>
            <w:hideMark/>
          </w:tcPr>
          <w:p w:rsidR="00CD3A4B" w:rsidRPr="00BC11E0" w:rsidRDefault="00CD3A4B" w:rsidP="00993212">
            <w:pPr>
              <w:jc w:val="right"/>
              <w:rPr>
                <w:rFonts w:ascii="Times New Roman" w:hAnsi="Times New Roman" w:cs="Times New Roman"/>
                <w:color w:val="000000"/>
                <w:sz w:val="18"/>
                <w:szCs w:val="18"/>
              </w:rPr>
            </w:pPr>
            <w:r w:rsidRPr="00BC11E0">
              <w:rPr>
                <w:rFonts w:ascii="Times New Roman" w:hAnsi="Times New Roman" w:cs="Times New Roman"/>
                <w:color w:val="000000"/>
                <w:sz w:val="18"/>
                <w:szCs w:val="18"/>
              </w:rPr>
              <w:t>6.6</w:t>
            </w:r>
          </w:p>
        </w:tc>
        <w:tc>
          <w:tcPr>
            <w:tcW w:w="527" w:type="dxa"/>
            <w:tcBorders>
              <w:top w:val="nil"/>
              <w:left w:val="nil"/>
              <w:bottom w:val="nil"/>
              <w:right w:val="nil"/>
            </w:tcBorders>
            <w:shd w:val="clear" w:color="auto" w:fill="auto"/>
            <w:noWrap/>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b</w:t>
            </w:r>
          </w:p>
        </w:tc>
      </w:tr>
      <w:tr w:rsidR="00CD3A4B" w:rsidRPr="00BC11E0" w:rsidTr="00BC11E0">
        <w:trPr>
          <w:trHeight w:val="375"/>
          <w:jc w:val="center"/>
        </w:trPr>
        <w:tc>
          <w:tcPr>
            <w:tcW w:w="2756" w:type="dxa"/>
            <w:tcBorders>
              <w:top w:val="nil"/>
              <w:left w:val="nil"/>
              <w:bottom w:val="nil"/>
              <w:right w:val="nil"/>
            </w:tcBorders>
            <w:shd w:val="clear" w:color="auto" w:fill="auto"/>
            <w:noWrap/>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Heritage Action 51WG 0.2 oz</w:t>
            </w:r>
          </w:p>
        </w:tc>
        <w:tc>
          <w:tcPr>
            <w:tcW w:w="1960" w:type="dxa"/>
            <w:tcBorders>
              <w:top w:val="nil"/>
              <w:left w:val="nil"/>
              <w:bottom w:val="nil"/>
              <w:right w:val="nil"/>
            </w:tcBorders>
            <w:shd w:val="clear" w:color="auto" w:fill="auto"/>
            <w:noWrap/>
            <w:vAlign w:val="center"/>
            <w:hideMark/>
          </w:tcPr>
          <w:p w:rsidR="00CD3A4B" w:rsidRPr="00BC11E0" w:rsidRDefault="00CD3A4B" w:rsidP="00993212">
            <w:pPr>
              <w:jc w:val="center"/>
              <w:rPr>
                <w:rFonts w:ascii="Times New Roman" w:hAnsi="Times New Roman" w:cs="Times New Roman"/>
                <w:color w:val="000000"/>
                <w:sz w:val="18"/>
                <w:szCs w:val="18"/>
              </w:rPr>
            </w:pPr>
            <w:r w:rsidRPr="00BC11E0">
              <w:rPr>
                <w:rFonts w:ascii="Times New Roman" w:hAnsi="Times New Roman" w:cs="Times New Roman"/>
                <w:color w:val="000000"/>
                <w:sz w:val="18"/>
                <w:szCs w:val="18"/>
              </w:rPr>
              <w:t>6</w:t>
            </w:r>
          </w:p>
        </w:tc>
        <w:tc>
          <w:tcPr>
            <w:tcW w:w="774" w:type="dxa"/>
            <w:tcBorders>
              <w:top w:val="nil"/>
              <w:left w:val="nil"/>
              <w:bottom w:val="nil"/>
              <w:right w:val="nil"/>
            </w:tcBorders>
            <w:shd w:val="clear" w:color="auto" w:fill="auto"/>
            <w:vAlign w:val="center"/>
            <w:hideMark/>
          </w:tcPr>
          <w:p w:rsidR="00CD3A4B" w:rsidRPr="00BC11E0" w:rsidRDefault="00CD3A4B" w:rsidP="00993212">
            <w:pPr>
              <w:jc w:val="right"/>
              <w:rPr>
                <w:rFonts w:ascii="Times New Roman" w:hAnsi="Times New Roman" w:cs="Times New Roman"/>
                <w:color w:val="000000"/>
                <w:sz w:val="18"/>
                <w:szCs w:val="18"/>
              </w:rPr>
            </w:pPr>
            <w:r w:rsidRPr="00BC11E0">
              <w:rPr>
                <w:rFonts w:ascii="Times New Roman" w:hAnsi="Times New Roman" w:cs="Times New Roman"/>
                <w:color w:val="000000"/>
                <w:sz w:val="18"/>
                <w:szCs w:val="18"/>
              </w:rPr>
              <w:t>20.8</w:t>
            </w:r>
          </w:p>
        </w:tc>
        <w:tc>
          <w:tcPr>
            <w:tcW w:w="674" w:type="dxa"/>
            <w:tcBorders>
              <w:top w:val="nil"/>
              <w:left w:val="nil"/>
              <w:bottom w:val="nil"/>
              <w:right w:val="nil"/>
            </w:tcBorders>
            <w:shd w:val="clear" w:color="auto" w:fill="auto"/>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b</w:t>
            </w:r>
          </w:p>
        </w:tc>
        <w:tc>
          <w:tcPr>
            <w:tcW w:w="721" w:type="dxa"/>
            <w:tcBorders>
              <w:top w:val="nil"/>
              <w:left w:val="nil"/>
              <w:bottom w:val="nil"/>
              <w:right w:val="nil"/>
            </w:tcBorders>
            <w:shd w:val="clear" w:color="auto" w:fill="auto"/>
            <w:vAlign w:val="center"/>
            <w:hideMark/>
          </w:tcPr>
          <w:p w:rsidR="00CD3A4B" w:rsidRPr="00BC11E0" w:rsidRDefault="00CD3A4B" w:rsidP="00993212">
            <w:pPr>
              <w:jc w:val="right"/>
              <w:rPr>
                <w:rFonts w:ascii="Times New Roman" w:hAnsi="Times New Roman" w:cs="Times New Roman"/>
                <w:color w:val="000000"/>
                <w:sz w:val="18"/>
                <w:szCs w:val="18"/>
              </w:rPr>
            </w:pPr>
            <w:r w:rsidRPr="00BC11E0">
              <w:rPr>
                <w:rFonts w:ascii="Times New Roman" w:hAnsi="Times New Roman" w:cs="Times New Roman"/>
                <w:color w:val="000000"/>
                <w:sz w:val="18"/>
                <w:szCs w:val="18"/>
              </w:rPr>
              <w:t>3.5</w:t>
            </w:r>
          </w:p>
        </w:tc>
        <w:tc>
          <w:tcPr>
            <w:tcW w:w="527" w:type="dxa"/>
            <w:tcBorders>
              <w:top w:val="nil"/>
              <w:left w:val="nil"/>
              <w:bottom w:val="nil"/>
              <w:right w:val="nil"/>
            </w:tcBorders>
            <w:shd w:val="clear" w:color="auto" w:fill="auto"/>
            <w:noWrap/>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c</w:t>
            </w:r>
          </w:p>
        </w:tc>
      </w:tr>
      <w:tr w:rsidR="00CD3A4B" w:rsidRPr="00BC11E0" w:rsidTr="00BC11E0">
        <w:trPr>
          <w:trHeight w:val="315"/>
          <w:jc w:val="center"/>
        </w:trPr>
        <w:tc>
          <w:tcPr>
            <w:tcW w:w="2756" w:type="dxa"/>
            <w:tcBorders>
              <w:top w:val="nil"/>
              <w:left w:val="nil"/>
              <w:bottom w:val="single" w:sz="4" w:space="0" w:color="auto"/>
              <w:right w:val="nil"/>
            </w:tcBorders>
            <w:shd w:val="clear" w:color="auto" w:fill="auto"/>
            <w:noWrap/>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Control</w:t>
            </w:r>
          </w:p>
        </w:tc>
        <w:tc>
          <w:tcPr>
            <w:tcW w:w="1960" w:type="dxa"/>
            <w:tcBorders>
              <w:top w:val="nil"/>
              <w:left w:val="nil"/>
              <w:bottom w:val="single" w:sz="4" w:space="0" w:color="auto"/>
              <w:right w:val="nil"/>
            </w:tcBorders>
            <w:shd w:val="clear" w:color="auto" w:fill="auto"/>
            <w:noWrap/>
            <w:vAlign w:val="center"/>
            <w:hideMark/>
          </w:tcPr>
          <w:p w:rsidR="00CD3A4B" w:rsidRPr="00BC11E0" w:rsidRDefault="00CD3A4B" w:rsidP="00993212">
            <w:pPr>
              <w:jc w:val="center"/>
              <w:rPr>
                <w:rFonts w:ascii="Times New Roman" w:hAnsi="Times New Roman" w:cs="Times New Roman"/>
                <w:color w:val="000000"/>
                <w:sz w:val="18"/>
                <w:szCs w:val="18"/>
              </w:rPr>
            </w:pPr>
            <w:r w:rsidRPr="00BC11E0">
              <w:rPr>
                <w:rFonts w:ascii="Times New Roman" w:hAnsi="Times New Roman" w:cs="Times New Roman"/>
                <w:color w:val="000000"/>
                <w:sz w:val="18"/>
                <w:szCs w:val="18"/>
              </w:rPr>
              <w:t>Not applicable</w:t>
            </w:r>
          </w:p>
        </w:tc>
        <w:tc>
          <w:tcPr>
            <w:tcW w:w="774" w:type="dxa"/>
            <w:tcBorders>
              <w:top w:val="nil"/>
              <w:left w:val="nil"/>
              <w:bottom w:val="single" w:sz="4" w:space="0" w:color="auto"/>
              <w:right w:val="nil"/>
            </w:tcBorders>
            <w:shd w:val="clear" w:color="auto" w:fill="auto"/>
            <w:vAlign w:val="center"/>
            <w:hideMark/>
          </w:tcPr>
          <w:p w:rsidR="00CD3A4B" w:rsidRPr="00BC11E0" w:rsidRDefault="00CD3A4B" w:rsidP="00993212">
            <w:pPr>
              <w:jc w:val="right"/>
              <w:rPr>
                <w:rFonts w:ascii="Times New Roman" w:hAnsi="Times New Roman" w:cs="Times New Roman"/>
                <w:color w:val="000000"/>
                <w:sz w:val="18"/>
                <w:szCs w:val="18"/>
              </w:rPr>
            </w:pPr>
            <w:r w:rsidRPr="00BC11E0">
              <w:rPr>
                <w:rFonts w:ascii="Times New Roman" w:hAnsi="Times New Roman" w:cs="Times New Roman"/>
                <w:color w:val="000000"/>
                <w:sz w:val="18"/>
                <w:szCs w:val="18"/>
              </w:rPr>
              <w:t>27.5</w:t>
            </w:r>
          </w:p>
        </w:tc>
        <w:tc>
          <w:tcPr>
            <w:tcW w:w="674" w:type="dxa"/>
            <w:tcBorders>
              <w:top w:val="nil"/>
              <w:left w:val="nil"/>
              <w:bottom w:val="single" w:sz="4" w:space="0" w:color="auto"/>
              <w:right w:val="nil"/>
            </w:tcBorders>
            <w:shd w:val="clear" w:color="auto" w:fill="auto"/>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a</w:t>
            </w:r>
          </w:p>
        </w:tc>
        <w:tc>
          <w:tcPr>
            <w:tcW w:w="721" w:type="dxa"/>
            <w:tcBorders>
              <w:top w:val="nil"/>
              <w:left w:val="nil"/>
              <w:bottom w:val="single" w:sz="4" w:space="0" w:color="auto"/>
              <w:right w:val="nil"/>
            </w:tcBorders>
            <w:shd w:val="clear" w:color="auto" w:fill="auto"/>
            <w:vAlign w:val="center"/>
            <w:hideMark/>
          </w:tcPr>
          <w:p w:rsidR="00CD3A4B" w:rsidRPr="00BC11E0" w:rsidRDefault="00CD3A4B" w:rsidP="00993212">
            <w:pPr>
              <w:jc w:val="right"/>
              <w:rPr>
                <w:rFonts w:ascii="Times New Roman" w:hAnsi="Times New Roman" w:cs="Times New Roman"/>
                <w:color w:val="000000"/>
                <w:sz w:val="18"/>
                <w:szCs w:val="18"/>
              </w:rPr>
            </w:pPr>
            <w:r w:rsidRPr="00BC11E0">
              <w:rPr>
                <w:rFonts w:ascii="Times New Roman" w:hAnsi="Times New Roman" w:cs="Times New Roman"/>
                <w:color w:val="000000"/>
                <w:sz w:val="18"/>
                <w:szCs w:val="18"/>
              </w:rPr>
              <w:t>3.0</w:t>
            </w:r>
          </w:p>
        </w:tc>
        <w:tc>
          <w:tcPr>
            <w:tcW w:w="527" w:type="dxa"/>
            <w:tcBorders>
              <w:top w:val="nil"/>
              <w:left w:val="nil"/>
              <w:bottom w:val="single" w:sz="4" w:space="0" w:color="auto"/>
              <w:right w:val="nil"/>
            </w:tcBorders>
            <w:shd w:val="clear" w:color="auto" w:fill="auto"/>
            <w:noWrap/>
            <w:vAlign w:val="center"/>
            <w:hideMark/>
          </w:tcPr>
          <w:p w:rsidR="00CD3A4B" w:rsidRPr="00BC11E0" w:rsidRDefault="00CD3A4B" w:rsidP="00993212">
            <w:pPr>
              <w:rPr>
                <w:rFonts w:ascii="Times New Roman" w:hAnsi="Times New Roman" w:cs="Times New Roman"/>
                <w:color w:val="000000"/>
                <w:sz w:val="18"/>
                <w:szCs w:val="18"/>
              </w:rPr>
            </w:pPr>
            <w:r w:rsidRPr="00BC11E0">
              <w:rPr>
                <w:rFonts w:ascii="Times New Roman" w:hAnsi="Times New Roman" w:cs="Times New Roman"/>
                <w:color w:val="000000"/>
                <w:sz w:val="18"/>
                <w:szCs w:val="18"/>
              </w:rPr>
              <w:t>c</w:t>
            </w:r>
          </w:p>
        </w:tc>
      </w:tr>
    </w:tbl>
    <w:p w:rsidR="00CD3A4B" w:rsidRPr="00BC11E0" w:rsidRDefault="00CD3A4B" w:rsidP="00CD3A4B">
      <w:pPr>
        <w:rPr>
          <w:rFonts w:ascii="Times New Roman" w:hAnsi="Times New Roman" w:cs="Times New Roman"/>
          <w:sz w:val="18"/>
          <w:szCs w:val="18"/>
        </w:rPr>
      </w:pPr>
    </w:p>
    <w:p w:rsidR="00CD3A4B" w:rsidRPr="00BC11E0" w:rsidRDefault="00CD3A4B" w:rsidP="00CD3A4B">
      <w:pPr>
        <w:ind w:left="360" w:hanging="360"/>
        <w:rPr>
          <w:rFonts w:ascii="Times New Roman" w:hAnsi="Times New Roman" w:cs="Times New Roman"/>
          <w:sz w:val="18"/>
          <w:szCs w:val="18"/>
        </w:rPr>
      </w:pPr>
      <w:r w:rsidRPr="00BC11E0">
        <w:rPr>
          <w:rFonts w:ascii="Times New Roman" w:hAnsi="Times New Roman" w:cs="Times New Roman"/>
          <w:sz w:val="18"/>
          <w:szCs w:val="18"/>
          <w:vertAlign w:val="superscript"/>
        </w:rPr>
        <w:t xml:space="preserve">z </w:t>
      </w:r>
      <w:r w:rsidRPr="00BC11E0">
        <w:rPr>
          <w:rFonts w:ascii="Times New Roman" w:hAnsi="Times New Roman" w:cs="Times New Roman"/>
          <w:sz w:val="18"/>
          <w:szCs w:val="18"/>
        </w:rPr>
        <w:t xml:space="preserve">All fungicides were applied on 25 Jan and 8 </w:t>
      </w:r>
      <w:r w:rsidRPr="00BC11E0">
        <w:rPr>
          <w:rFonts w:ascii="Times New Roman" w:hAnsi="Times New Roman" w:cs="Times New Roman"/>
          <w:color w:val="000000"/>
          <w:sz w:val="18"/>
          <w:szCs w:val="18"/>
        </w:rPr>
        <w:t>Feb, additional applications were made when symptom development and reductions in turf quality were noted, but not sooner than 14 days after the last application</w:t>
      </w:r>
      <w:r w:rsidRPr="00BC11E0">
        <w:rPr>
          <w:rFonts w:ascii="Times New Roman" w:hAnsi="Times New Roman" w:cs="Times New Roman"/>
          <w:sz w:val="18"/>
          <w:szCs w:val="18"/>
        </w:rPr>
        <w:t xml:space="preserve">. </w:t>
      </w:r>
    </w:p>
    <w:p w:rsidR="00CD3A4B" w:rsidRPr="00BC11E0" w:rsidRDefault="00CD3A4B" w:rsidP="00CD3A4B">
      <w:pPr>
        <w:ind w:left="360" w:hanging="360"/>
        <w:rPr>
          <w:rFonts w:ascii="Times New Roman" w:hAnsi="Times New Roman" w:cs="Times New Roman"/>
          <w:sz w:val="18"/>
          <w:szCs w:val="18"/>
        </w:rPr>
      </w:pPr>
      <w:r w:rsidRPr="00BC11E0">
        <w:rPr>
          <w:rFonts w:ascii="Times New Roman" w:hAnsi="Times New Roman" w:cs="Times New Roman"/>
          <w:sz w:val="18"/>
          <w:szCs w:val="18"/>
          <w:vertAlign w:val="superscript"/>
        </w:rPr>
        <w:t>y</w:t>
      </w:r>
      <w:r w:rsidRPr="00BC11E0">
        <w:rPr>
          <w:rFonts w:ascii="Times New Roman" w:hAnsi="Times New Roman" w:cs="Times New Roman"/>
          <w:sz w:val="18"/>
          <w:szCs w:val="18"/>
        </w:rPr>
        <w:t xml:space="preserve"> Mean disease severity ratings are based on a 0 to 100% scale in four replicated plots.  Means followed by the same letter are not significantly different according to Fisher’s protected LSD (α=0.05).</w:t>
      </w:r>
    </w:p>
    <w:p w:rsidR="00CD3A4B" w:rsidRPr="00BC11E0" w:rsidRDefault="00CD3A4B" w:rsidP="00CD3A4B">
      <w:pPr>
        <w:ind w:left="360" w:hanging="360"/>
        <w:rPr>
          <w:rFonts w:ascii="Times New Roman" w:hAnsi="Times New Roman" w:cs="Times New Roman"/>
          <w:sz w:val="18"/>
          <w:szCs w:val="18"/>
        </w:rPr>
      </w:pPr>
      <w:r w:rsidRPr="00BC11E0">
        <w:rPr>
          <w:rFonts w:ascii="Times New Roman" w:hAnsi="Times New Roman" w:cs="Times New Roman"/>
          <w:sz w:val="18"/>
          <w:szCs w:val="18"/>
          <w:vertAlign w:val="superscript"/>
        </w:rPr>
        <w:t>x</w:t>
      </w:r>
      <w:r w:rsidRPr="00BC11E0">
        <w:rPr>
          <w:rFonts w:ascii="Times New Roman" w:hAnsi="Times New Roman" w:cs="Times New Roman"/>
          <w:sz w:val="18"/>
          <w:szCs w:val="18"/>
        </w:rPr>
        <w:t xml:space="preserve"> Turf quality ratings are based on 1 – 9 scale (9 = best, 6.0 is acceptable).  Means followed by the same letter are not significantly different according to Fisher’s protected LSD (α=0.05).</w:t>
      </w:r>
    </w:p>
    <w:p w:rsidR="0055117D" w:rsidRDefault="0055117D" w:rsidP="00640455">
      <w:pPr>
        <w:tabs>
          <w:tab w:val="left" w:pos="6300"/>
        </w:tabs>
        <w:spacing w:after="0" w:line="240" w:lineRule="auto"/>
        <w:rPr>
          <w:rFonts w:ascii="Times New Roman" w:eastAsia="Times New Roman" w:hAnsi="Times New Roman" w:cs="Times New Roman"/>
          <w:b/>
          <w:sz w:val="18"/>
          <w:szCs w:val="18"/>
        </w:rPr>
      </w:pPr>
    </w:p>
    <w:p w:rsidR="00BC11E0" w:rsidRDefault="00BC11E0" w:rsidP="00640455">
      <w:pPr>
        <w:tabs>
          <w:tab w:val="left" w:pos="6300"/>
        </w:tabs>
        <w:spacing w:after="0" w:line="240" w:lineRule="auto"/>
        <w:rPr>
          <w:rFonts w:ascii="Times New Roman" w:eastAsia="Times New Roman" w:hAnsi="Times New Roman" w:cs="Times New Roman"/>
          <w:sz w:val="18"/>
          <w:szCs w:val="18"/>
        </w:rPr>
      </w:pPr>
      <w:r w:rsidRPr="00BC11E0">
        <w:rPr>
          <w:rFonts w:ascii="Times New Roman" w:eastAsia="Times New Roman" w:hAnsi="Times New Roman" w:cs="Times New Roman"/>
          <w:b/>
          <w:sz w:val="18"/>
          <w:szCs w:val="18"/>
        </w:rPr>
        <w:lastRenderedPageBreak/>
        <w:t xml:space="preserve">Handouts: </w:t>
      </w:r>
      <w:r w:rsidRPr="00BC11E0">
        <w:rPr>
          <w:rFonts w:ascii="Times New Roman" w:eastAsia="Times New Roman" w:hAnsi="Times New Roman" w:cs="Times New Roman"/>
          <w:sz w:val="18"/>
          <w:szCs w:val="18"/>
        </w:rPr>
        <w:t xml:space="preserve">Plant Disease Management Report </w:t>
      </w:r>
      <w:r w:rsidR="00640455" w:rsidRPr="00640455">
        <w:rPr>
          <w:rFonts w:ascii="Times New Roman" w:eastAsia="Times New Roman" w:hAnsi="Times New Roman" w:cs="Times New Roman"/>
          <w:sz w:val="18"/>
          <w:szCs w:val="18"/>
        </w:rPr>
        <w:t>10:T039.</w:t>
      </w:r>
    </w:p>
    <w:p w:rsidR="00640455" w:rsidRPr="00640455" w:rsidRDefault="00640455" w:rsidP="00640455">
      <w:pPr>
        <w:tabs>
          <w:tab w:val="left" w:pos="6300"/>
        </w:tabs>
        <w:spacing w:after="0" w:line="240" w:lineRule="auto"/>
        <w:rPr>
          <w:rFonts w:ascii="Times New Roman" w:eastAsia="Times New Roman" w:hAnsi="Times New Roman" w:cs="Times New Roman"/>
          <w:b/>
          <w:sz w:val="18"/>
          <w:szCs w:val="18"/>
        </w:rPr>
      </w:pPr>
    </w:p>
    <w:p w:rsidR="00640455" w:rsidRDefault="00CD3A4B" w:rsidP="00640455">
      <w:pPr>
        <w:tabs>
          <w:tab w:val="left" w:pos="6390"/>
          <w:tab w:val="left" w:pos="7200"/>
        </w:tabs>
        <w:spacing w:after="0" w:line="240" w:lineRule="auto"/>
        <w:jc w:val="right"/>
        <w:rPr>
          <w:rFonts w:ascii="Times New Roman" w:eastAsia="Times New Roman" w:hAnsi="Times New Roman" w:cs="Times New Roman"/>
          <w:sz w:val="18"/>
          <w:szCs w:val="18"/>
        </w:rPr>
      </w:pPr>
      <w:r w:rsidRPr="00BC11E0">
        <w:rPr>
          <w:rFonts w:ascii="Times New Roman" w:eastAsia="Times New Roman" w:hAnsi="Times New Roman" w:cs="Times New Roman"/>
          <w:sz w:val="18"/>
          <w:szCs w:val="18"/>
        </w:rPr>
        <w:t>ANNUAL BLUEGRASS (</w:t>
      </w:r>
      <w:r w:rsidRPr="00BC11E0">
        <w:rPr>
          <w:rFonts w:ascii="Times New Roman" w:eastAsia="Times New Roman" w:hAnsi="Times New Roman" w:cs="Times New Roman"/>
          <w:i/>
          <w:sz w:val="18"/>
          <w:szCs w:val="18"/>
        </w:rPr>
        <w:t>Poa annua</w:t>
      </w:r>
      <w:r w:rsidR="00640455">
        <w:rPr>
          <w:rFonts w:ascii="Times New Roman" w:eastAsia="Times New Roman" w:hAnsi="Times New Roman" w:cs="Times New Roman"/>
          <w:sz w:val="18"/>
          <w:szCs w:val="18"/>
        </w:rPr>
        <w:t>)</w:t>
      </w:r>
      <w:r w:rsidR="00640455">
        <w:rPr>
          <w:rFonts w:ascii="Times New Roman" w:eastAsia="Times New Roman" w:hAnsi="Times New Roman" w:cs="Times New Roman"/>
          <w:sz w:val="18"/>
          <w:szCs w:val="18"/>
        </w:rPr>
        <w:tab/>
      </w:r>
      <w:r w:rsidRPr="00BC11E0">
        <w:rPr>
          <w:rFonts w:ascii="Times New Roman" w:eastAsia="Times New Roman" w:hAnsi="Times New Roman" w:cs="Times New Roman"/>
          <w:sz w:val="18"/>
          <w:szCs w:val="18"/>
        </w:rPr>
        <w:t xml:space="preserve">B.W. McDonald and </w:t>
      </w:r>
      <w:r w:rsidR="00640455">
        <w:rPr>
          <w:rFonts w:ascii="Times New Roman" w:eastAsia="Times New Roman" w:hAnsi="Times New Roman" w:cs="Times New Roman"/>
          <w:sz w:val="18"/>
          <w:szCs w:val="18"/>
        </w:rPr>
        <w:t>A.R. Kowalewski</w:t>
      </w:r>
    </w:p>
    <w:p w:rsidR="0055117D" w:rsidRPr="00BC11E0" w:rsidRDefault="0055117D" w:rsidP="00640455">
      <w:pPr>
        <w:tabs>
          <w:tab w:val="left" w:pos="6390"/>
          <w:tab w:val="left" w:pos="7200"/>
        </w:tabs>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sidRPr="00BC11E0">
        <w:rPr>
          <w:rFonts w:ascii="Times New Roman" w:eastAsia="Times New Roman" w:hAnsi="Times New Roman" w:cs="Times New Roman"/>
          <w:sz w:val="18"/>
          <w:szCs w:val="18"/>
        </w:rPr>
        <w:t>nthracnose (</w:t>
      </w:r>
      <w:r w:rsidRPr="00BC11E0">
        <w:rPr>
          <w:rFonts w:ascii="Times New Roman" w:eastAsia="Times New Roman" w:hAnsi="Times New Roman" w:cs="Times New Roman"/>
          <w:i/>
          <w:sz w:val="18"/>
          <w:szCs w:val="18"/>
        </w:rPr>
        <w:t xml:space="preserve">Colletotrichum </w:t>
      </w:r>
      <w:r>
        <w:rPr>
          <w:rFonts w:ascii="Times New Roman" w:eastAsia="Times New Roman" w:hAnsi="Times New Roman" w:cs="Times New Roman"/>
          <w:i/>
          <w:sz w:val="18"/>
          <w:szCs w:val="18"/>
        </w:rPr>
        <w:t>cereal</w:t>
      </w:r>
      <w:r>
        <w:rPr>
          <w:rFonts w:ascii="Times New Roman" w:eastAsia="Times New Roman" w:hAnsi="Times New Roman" w:cs="Times New Roman"/>
          <w:sz w:val="18"/>
          <w:szCs w:val="18"/>
        </w:rPr>
        <w:t>)                                                                                                                         4147</w:t>
      </w:r>
    </w:p>
    <w:p w:rsidR="0055117D" w:rsidRDefault="0055117D" w:rsidP="00640455">
      <w:pPr>
        <w:tabs>
          <w:tab w:val="left" w:pos="6120"/>
        </w:tabs>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640455" w:rsidRPr="00BC11E0">
        <w:rPr>
          <w:rFonts w:ascii="Times New Roman" w:eastAsia="Times New Roman" w:hAnsi="Times New Roman" w:cs="Times New Roman"/>
          <w:sz w:val="18"/>
          <w:szCs w:val="18"/>
        </w:rPr>
        <w:t>Department of Horticulture</w:t>
      </w:r>
      <w:r w:rsidR="00CD3A4B" w:rsidRPr="00BC11E0">
        <w:rPr>
          <w:rFonts w:ascii="Times New Roman" w:eastAsia="Times New Roman" w:hAnsi="Times New Roman" w:cs="Times New Roman"/>
          <w:sz w:val="18"/>
          <w:szCs w:val="18"/>
        </w:rPr>
        <w:t xml:space="preserve"> </w:t>
      </w:r>
    </w:p>
    <w:p w:rsidR="00CD3A4B" w:rsidRPr="00BC11E0" w:rsidRDefault="00640455" w:rsidP="00640455">
      <w:pPr>
        <w:tabs>
          <w:tab w:val="left" w:pos="6120"/>
        </w:tabs>
        <w:spacing w:after="0" w:line="240" w:lineRule="auto"/>
        <w:jc w:val="right"/>
        <w:rPr>
          <w:rFonts w:ascii="Times New Roman" w:eastAsia="Times New Roman" w:hAnsi="Times New Roman" w:cs="Times New Roman"/>
          <w:sz w:val="18"/>
          <w:szCs w:val="18"/>
        </w:rPr>
      </w:pPr>
      <w:r w:rsidRPr="00640455">
        <w:rPr>
          <w:rFonts w:ascii="Times New Roman" w:eastAsia="Times New Roman" w:hAnsi="Times New Roman" w:cs="Times New Roman"/>
          <w:sz w:val="18"/>
          <w:szCs w:val="18"/>
        </w:rPr>
        <w:t>Oregon State University</w:t>
      </w:r>
    </w:p>
    <w:p w:rsidR="00CD3A4B" w:rsidRPr="00BC11E0" w:rsidRDefault="00CD3A4B" w:rsidP="0055117D">
      <w:pPr>
        <w:tabs>
          <w:tab w:val="left" w:pos="7200"/>
        </w:tabs>
        <w:spacing w:after="0" w:line="240" w:lineRule="auto"/>
        <w:ind w:left="720" w:hanging="720"/>
        <w:jc w:val="right"/>
        <w:rPr>
          <w:rFonts w:ascii="Times New Roman" w:eastAsia="Times New Roman" w:hAnsi="Times New Roman" w:cs="Times New Roman"/>
          <w:b/>
          <w:sz w:val="18"/>
          <w:szCs w:val="18"/>
        </w:rPr>
      </w:pPr>
      <w:r w:rsidRPr="00BC11E0">
        <w:rPr>
          <w:rFonts w:ascii="Times New Roman" w:eastAsia="Times New Roman" w:hAnsi="Times New Roman" w:cs="Times New Roman"/>
          <w:sz w:val="18"/>
          <w:szCs w:val="18"/>
        </w:rPr>
        <w:tab/>
      </w:r>
      <w:r w:rsidR="00640455" w:rsidRPr="00BC11E0">
        <w:rPr>
          <w:rFonts w:ascii="Times New Roman" w:eastAsia="Times New Roman" w:hAnsi="Times New Roman" w:cs="Times New Roman"/>
          <w:sz w:val="18"/>
          <w:szCs w:val="18"/>
        </w:rPr>
        <w:t>Corvallis, OR 97331</w:t>
      </w:r>
    </w:p>
    <w:p w:rsidR="00CD3A4B" w:rsidRPr="00BC11E0" w:rsidRDefault="00CD3A4B" w:rsidP="00CD3A4B">
      <w:pPr>
        <w:spacing w:after="0" w:line="240" w:lineRule="auto"/>
        <w:ind w:left="-720" w:right="-720"/>
        <w:rPr>
          <w:rFonts w:ascii="Times New Roman" w:eastAsia="Times New Roman" w:hAnsi="Times New Roman" w:cs="Times New Roman"/>
          <w:sz w:val="18"/>
          <w:szCs w:val="18"/>
        </w:rPr>
      </w:pPr>
    </w:p>
    <w:p w:rsidR="00CD3A4B" w:rsidRPr="00BC11E0" w:rsidRDefault="00CD3A4B" w:rsidP="00CD3A4B">
      <w:pPr>
        <w:spacing w:after="0" w:line="240" w:lineRule="auto"/>
        <w:ind w:right="90"/>
        <w:rPr>
          <w:rFonts w:ascii="Times New Roman" w:eastAsia="Times New Roman" w:hAnsi="Times New Roman" w:cs="Times New Roman"/>
          <w:b/>
          <w:sz w:val="18"/>
          <w:szCs w:val="18"/>
        </w:rPr>
      </w:pPr>
      <w:r w:rsidRPr="00BC11E0">
        <w:rPr>
          <w:rFonts w:ascii="Times New Roman" w:eastAsia="Times New Roman" w:hAnsi="Times New Roman" w:cs="Times New Roman"/>
          <w:b/>
          <w:sz w:val="18"/>
          <w:szCs w:val="18"/>
        </w:rPr>
        <w:t>Evaluation of fungicide programs for the control of anthracnose on annual bluegrass in western Oregon, 2015.</w:t>
      </w:r>
    </w:p>
    <w:p w:rsidR="00CD3A4B" w:rsidRPr="00BC11E0" w:rsidRDefault="00CD3A4B" w:rsidP="00CD3A4B">
      <w:pPr>
        <w:spacing w:after="0" w:line="240" w:lineRule="auto"/>
        <w:ind w:left="-720" w:right="-720"/>
        <w:rPr>
          <w:rFonts w:ascii="Times New Roman" w:eastAsia="Times New Roman" w:hAnsi="Times New Roman" w:cs="Times New Roman"/>
          <w:sz w:val="18"/>
          <w:szCs w:val="18"/>
        </w:rPr>
      </w:pPr>
    </w:p>
    <w:p w:rsidR="00CD3A4B" w:rsidRPr="00BC11E0" w:rsidRDefault="00CD3A4B" w:rsidP="00CD3A4B">
      <w:pPr>
        <w:spacing w:after="0" w:line="240" w:lineRule="auto"/>
        <w:ind w:right="90"/>
        <w:rPr>
          <w:rFonts w:ascii="Times New Roman" w:eastAsia="Times New Roman" w:hAnsi="Times New Roman" w:cs="Times New Roman"/>
          <w:sz w:val="18"/>
          <w:szCs w:val="18"/>
        </w:rPr>
      </w:pPr>
      <w:r w:rsidRPr="00BC11E0">
        <w:rPr>
          <w:rFonts w:ascii="Times New Roman" w:eastAsia="Times New Roman" w:hAnsi="Times New Roman" w:cs="Times New Roman"/>
          <w:sz w:val="18"/>
          <w:szCs w:val="18"/>
        </w:rPr>
        <w:t>The objective of this study was to evaluate the efficacy of fungicide programs (repeated applications and rotations of various products) for the control of anthracnose on an annual bluegrass putting green.  A field experiment was conducted at the OSU Lewis-Brown Horticulture Farm in Corvallis, OR.  The research was initiated on Jun 15 on a putting green built in 2009 using the California construction technique consisting of sand-based annual bluegrass sod (Bos Sod, Canada).  Experimental design was a randomized complete block, with four replications, and individual plots were 25 sq ft</w:t>
      </w:r>
      <w:r w:rsidRPr="00BC11E0">
        <w:rPr>
          <w:rFonts w:ascii="Times New Roman" w:eastAsia="Times New Roman" w:hAnsi="Times New Roman" w:cs="Times New Roman"/>
          <w:sz w:val="18"/>
          <w:szCs w:val="18"/>
          <w:vertAlign w:val="superscript"/>
        </w:rPr>
        <w:t xml:space="preserve"> </w:t>
      </w:r>
      <w:r w:rsidRPr="00BC11E0">
        <w:rPr>
          <w:rFonts w:ascii="Times New Roman" w:eastAsia="Times New Roman" w:hAnsi="Times New Roman" w:cs="Times New Roman"/>
          <w:sz w:val="18"/>
          <w:szCs w:val="18"/>
        </w:rPr>
        <w:t>(5 ft by 5 ft).  Fungicide treatments were applied biweekly (except Signature Xtra at 2.0 oz + Daconil Ultrex at 3.2 oz, which was applied weekly) using a CO</w:t>
      </w:r>
      <w:r w:rsidRPr="00BC11E0">
        <w:rPr>
          <w:rFonts w:ascii="Times New Roman" w:eastAsia="Times New Roman" w:hAnsi="Times New Roman" w:cs="Times New Roman"/>
          <w:sz w:val="18"/>
          <w:szCs w:val="18"/>
          <w:vertAlign w:val="subscript"/>
        </w:rPr>
        <w:t>2</w:t>
      </w:r>
      <w:r w:rsidRPr="00BC11E0">
        <w:rPr>
          <w:rFonts w:ascii="Times New Roman" w:eastAsia="Times New Roman" w:hAnsi="Times New Roman" w:cs="Times New Roman"/>
          <w:sz w:val="18"/>
          <w:szCs w:val="18"/>
        </w:rPr>
        <w:t>-powered two-wheeled sprayer with a 4 ft boom using TeeJet 80015 nozzles spraying 2 gal of spray solution per 1,000 sq ft at 35 psi.  Percent disease (0 to 100%) and turf quality (1 to 9 scale; 6 or greater considered acceptable) were collected bi-weekly from 15 Jun to 8 Sep, with the peak of disease occurring on 24 Aug.  Data were subjected to analysis of variance and mean separated using Fisher’s protected least significant difference (LSD) at a 0.05 level of probability.</w:t>
      </w:r>
    </w:p>
    <w:p w:rsidR="00CD3A4B" w:rsidRPr="00BC11E0" w:rsidRDefault="00CD3A4B" w:rsidP="00CD3A4B">
      <w:pPr>
        <w:spacing w:after="0" w:line="240" w:lineRule="auto"/>
        <w:ind w:left="-720" w:right="-720"/>
        <w:rPr>
          <w:rFonts w:ascii="Times New Roman" w:eastAsia="Times New Roman" w:hAnsi="Times New Roman" w:cs="Times New Roman"/>
          <w:sz w:val="18"/>
          <w:szCs w:val="18"/>
        </w:rPr>
      </w:pPr>
    </w:p>
    <w:p w:rsidR="00CD3A4B" w:rsidRDefault="00CD3A4B" w:rsidP="00CD3A4B">
      <w:pPr>
        <w:spacing w:after="0" w:line="240" w:lineRule="auto"/>
        <w:ind w:right="90"/>
        <w:rPr>
          <w:rFonts w:ascii="Times New Roman" w:eastAsia="Times New Roman" w:hAnsi="Times New Roman" w:cs="Times New Roman"/>
          <w:color w:val="000000"/>
          <w:sz w:val="18"/>
          <w:szCs w:val="18"/>
        </w:rPr>
      </w:pPr>
      <w:r w:rsidRPr="00BC11E0">
        <w:rPr>
          <w:rFonts w:ascii="Times New Roman" w:eastAsia="Times New Roman" w:hAnsi="Times New Roman" w:cs="Times New Roman"/>
          <w:sz w:val="18"/>
          <w:szCs w:val="18"/>
        </w:rPr>
        <w:t xml:space="preserve">All fungicide treatments and rotations reduced percent disease in comparison to the control.  Percent disease within plots treated with fungicides ranged from 0.0 to 0.4%, while the control plots averaged 9.5%.  Nine of the thirteen fungicide treatments </w:t>
      </w:r>
      <w:r w:rsidRPr="00BC11E0">
        <w:rPr>
          <w:rFonts w:ascii="Times New Roman" w:eastAsia="Times New Roman" w:hAnsi="Times New Roman" w:cs="Times New Roman"/>
          <w:color w:val="000000"/>
          <w:sz w:val="18"/>
          <w:szCs w:val="18"/>
        </w:rPr>
        <w:t xml:space="preserve">provided turf quality ratings which ranked in the top category (7.5 to 8.4, on a 1-9 scale). The exceptions were Signature Xtra (4.0 oz per 1,000 sq. ft.) + Daconil Ultrex, Signature applied alone, and Daconil Weather Stik + Signature, which received a rating ranging from 7.3 to 7.4.  The control produced the lowest turf quality (4.3).  </w:t>
      </w:r>
    </w:p>
    <w:p w:rsidR="00BC11E0" w:rsidRPr="00BC11E0" w:rsidRDefault="00BC11E0" w:rsidP="00CD3A4B">
      <w:pPr>
        <w:spacing w:after="0" w:line="240" w:lineRule="auto"/>
        <w:ind w:right="90"/>
        <w:rPr>
          <w:rFonts w:ascii="Times New Roman" w:eastAsia="Times New Roman" w:hAnsi="Times New Roman" w:cs="Times New Roman"/>
          <w:color w:val="000000"/>
          <w:sz w:val="18"/>
          <w:szCs w:val="18"/>
        </w:rPr>
      </w:pPr>
    </w:p>
    <w:tbl>
      <w:tblPr>
        <w:tblW w:w="9360" w:type="dxa"/>
        <w:jc w:val="center"/>
        <w:tblLook w:val="04A0" w:firstRow="1" w:lastRow="0" w:firstColumn="1" w:lastColumn="0" w:noHBand="0" w:noVBand="1"/>
      </w:tblPr>
      <w:tblGrid>
        <w:gridCol w:w="6793"/>
        <w:gridCol w:w="756"/>
        <w:gridCol w:w="650"/>
        <w:gridCol w:w="696"/>
        <w:gridCol w:w="465"/>
      </w:tblGrid>
      <w:tr w:rsidR="00CD3A4B" w:rsidRPr="00BC11E0" w:rsidTr="00BC11E0">
        <w:trPr>
          <w:trHeight w:val="161"/>
          <w:jc w:val="center"/>
        </w:trPr>
        <w:tc>
          <w:tcPr>
            <w:tcW w:w="6824" w:type="dxa"/>
            <w:tcBorders>
              <w:top w:val="single" w:sz="4" w:space="0" w:color="auto"/>
              <w:left w:val="nil"/>
              <w:right w:val="nil"/>
            </w:tcBorders>
            <w:shd w:val="clear" w:color="auto" w:fill="auto"/>
            <w:noWrap/>
            <w:vAlign w:val="bottom"/>
          </w:tcPr>
          <w:p w:rsidR="00CD3A4B" w:rsidRPr="00BC11E0" w:rsidRDefault="00CD3A4B" w:rsidP="00CD3A4B">
            <w:pPr>
              <w:spacing w:after="0" w:line="240" w:lineRule="auto"/>
              <w:rPr>
                <w:rFonts w:ascii="Times New Roman" w:eastAsia="Times New Roman" w:hAnsi="Times New Roman" w:cs="Times New Roman"/>
                <w:color w:val="000000"/>
                <w:sz w:val="18"/>
                <w:szCs w:val="18"/>
              </w:rPr>
            </w:pPr>
          </w:p>
        </w:tc>
        <w:tc>
          <w:tcPr>
            <w:tcW w:w="2536" w:type="dxa"/>
            <w:gridSpan w:val="4"/>
            <w:tcBorders>
              <w:top w:val="single" w:sz="4" w:space="0" w:color="auto"/>
              <w:left w:val="nil"/>
              <w:bottom w:val="single" w:sz="4" w:space="0" w:color="auto"/>
              <w:right w:val="nil"/>
            </w:tcBorders>
            <w:shd w:val="clear" w:color="auto" w:fill="auto"/>
            <w:noWrap/>
            <w:vAlign w:val="bottom"/>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24 Aug</w:t>
            </w:r>
          </w:p>
        </w:tc>
      </w:tr>
      <w:tr w:rsidR="00CD3A4B" w:rsidRPr="00BC11E0" w:rsidTr="00BC11E0">
        <w:trPr>
          <w:trHeight w:val="161"/>
          <w:jc w:val="center"/>
        </w:trPr>
        <w:tc>
          <w:tcPr>
            <w:tcW w:w="6824" w:type="dxa"/>
            <w:tcBorders>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Treatments and rate (per 1,000 sq ft)</w:t>
            </w:r>
            <w:r w:rsidRPr="00BC11E0">
              <w:rPr>
                <w:rFonts w:ascii="Times New Roman" w:eastAsia="Times New Roman" w:hAnsi="Times New Roman" w:cs="Times New Roman"/>
                <w:color w:val="000000"/>
                <w:sz w:val="18"/>
                <w:szCs w:val="18"/>
                <w:vertAlign w:val="superscript"/>
              </w:rPr>
              <w:t>z</w:t>
            </w:r>
          </w:p>
        </w:tc>
        <w:tc>
          <w:tcPr>
            <w:tcW w:w="1411" w:type="dxa"/>
            <w:gridSpan w:val="2"/>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xml:space="preserve">Percent disease </w:t>
            </w:r>
          </w:p>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(0-100%)</w:t>
            </w:r>
            <w:r w:rsidRPr="00BC11E0">
              <w:rPr>
                <w:rFonts w:ascii="Times New Roman" w:eastAsia="Times New Roman" w:hAnsi="Times New Roman" w:cs="Times New Roman"/>
                <w:color w:val="000000"/>
                <w:sz w:val="18"/>
                <w:szCs w:val="18"/>
                <w:vertAlign w:val="superscript"/>
              </w:rPr>
              <w:t>y</w:t>
            </w:r>
          </w:p>
        </w:tc>
        <w:tc>
          <w:tcPr>
            <w:tcW w:w="1125" w:type="dxa"/>
            <w:gridSpan w:val="2"/>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Turf quality</w:t>
            </w:r>
          </w:p>
          <w:p w:rsidR="00CD3A4B" w:rsidRPr="00BC11E0" w:rsidRDefault="00CD3A4B" w:rsidP="00CD3A4B">
            <w:pPr>
              <w:spacing w:after="0" w:line="240" w:lineRule="auto"/>
              <w:jc w:val="center"/>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(1-9)</w:t>
            </w:r>
            <w:r w:rsidRPr="00BC11E0">
              <w:rPr>
                <w:rFonts w:ascii="Times New Roman" w:eastAsia="Times New Roman" w:hAnsi="Times New Roman" w:cs="Times New Roman"/>
                <w:color w:val="000000"/>
                <w:sz w:val="18"/>
                <w:szCs w:val="18"/>
                <w:vertAlign w:val="superscript"/>
              </w:rPr>
              <w:t>x</w:t>
            </w:r>
          </w:p>
        </w:tc>
      </w:tr>
      <w:tr w:rsidR="00CD3A4B" w:rsidRPr="00BC11E0" w:rsidTr="00BC11E0">
        <w:trPr>
          <w:trHeight w:val="315"/>
          <w:jc w:val="center"/>
        </w:trPr>
        <w:tc>
          <w:tcPr>
            <w:tcW w:w="6824" w:type="dxa"/>
            <w:tcBorders>
              <w:top w:val="single" w:sz="4" w:space="0" w:color="auto"/>
              <w:left w:val="nil"/>
              <w:bottom w:val="single" w:sz="4" w:space="0" w:color="auto"/>
              <w:right w:val="nil"/>
            </w:tcBorders>
            <w:shd w:val="clear" w:color="auto" w:fill="auto"/>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Untreated</w:t>
            </w:r>
          </w:p>
        </w:tc>
        <w:tc>
          <w:tcPr>
            <w:tcW w:w="759"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9.5</w:t>
            </w:r>
          </w:p>
        </w:tc>
        <w:tc>
          <w:tcPr>
            <w:tcW w:w="65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a</w:t>
            </w:r>
            <w:r w:rsidRPr="00BC11E0">
              <w:rPr>
                <w:rFonts w:ascii="Times New Roman" w:eastAsia="Times New Roman" w:hAnsi="Times New Roman" w:cs="Times New Roman"/>
                <w:color w:val="000000"/>
                <w:sz w:val="18"/>
                <w:szCs w:val="18"/>
                <w:vertAlign w:val="superscript"/>
              </w:rPr>
              <w:t>w</w:t>
            </w:r>
          </w:p>
        </w:tc>
        <w:tc>
          <w:tcPr>
            <w:tcW w:w="698"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4.3</w:t>
            </w:r>
          </w:p>
        </w:tc>
        <w:tc>
          <w:tcPr>
            <w:tcW w:w="427"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d</w:t>
            </w:r>
          </w:p>
        </w:tc>
      </w:tr>
      <w:tr w:rsidR="00CD3A4B" w:rsidRPr="00BC11E0" w:rsidTr="00BC11E0">
        <w:trPr>
          <w:trHeight w:val="315"/>
          <w:jc w:val="center"/>
        </w:trPr>
        <w:tc>
          <w:tcPr>
            <w:tcW w:w="6824" w:type="dxa"/>
            <w:tcBorders>
              <w:top w:val="single" w:sz="4" w:space="0" w:color="auto"/>
              <w:left w:val="nil"/>
              <w:bottom w:val="single" w:sz="4" w:space="0" w:color="auto"/>
              <w:right w:val="nil"/>
            </w:tcBorders>
            <w:shd w:val="clear" w:color="auto" w:fill="auto"/>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xml:space="preserve">Signature Xtra 60WDG 2.0 oz + Daconil Ultrex 82.5WDG 3.2 oz </w:t>
            </w:r>
          </w:p>
        </w:tc>
        <w:tc>
          <w:tcPr>
            <w:tcW w:w="759"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0.0</w:t>
            </w:r>
          </w:p>
        </w:tc>
        <w:tc>
          <w:tcPr>
            <w:tcW w:w="65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b</w:t>
            </w:r>
          </w:p>
        </w:tc>
        <w:tc>
          <w:tcPr>
            <w:tcW w:w="698"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8.4</w:t>
            </w:r>
          </w:p>
        </w:tc>
        <w:tc>
          <w:tcPr>
            <w:tcW w:w="427"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a</w:t>
            </w:r>
          </w:p>
        </w:tc>
      </w:tr>
      <w:tr w:rsidR="00CD3A4B" w:rsidRPr="00BC11E0" w:rsidTr="00BC11E0">
        <w:trPr>
          <w:trHeight w:val="375"/>
          <w:jc w:val="center"/>
        </w:trPr>
        <w:tc>
          <w:tcPr>
            <w:tcW w:w="6824" w:type="dxa"/>
            <w:tcBorders>
              <w:top w:val="single" w:sz="4" w:space="0" w:color="auto"/>
              <w:left w:val="nil"/>
              <w:bottom w:val="single" w:sz="4" w:space="0" w:color="auto"/>
              <w:right w:val="nil"/>
            </w:tcBorders>
            <w:shd w:val="clear" w:color="auto" w:fill="auto"/>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Signature Xtra 60WDG 4.0 oz + Daconil Ultrex 82.5WDG 3.2 oz</w:t>
            </w:r>
          </w:p>
        </w:tc>
        <w:tc>
          <w:tcPr>
            <w:tcW w:w="759"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0.4</w:t>
            </w:r>
          </w:p>
        </w:tc>
        <w:tc>
          <w:tcPr>
            <w:tcW w:w="65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b</w:t>
            </w:r>
          </w:p>
        </w:tc>
        <w:tc>
          <w:tcPr>
            <w:tcW w:w="698"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7.4</w:t>
            </w:r>
          </w:p>
        </w:tc>
        <w:tc>
          <w:tcPr>
            <w:tcW w:w="427"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bc</w:t>
            </w:r>
          </w:p>
        </w:tc>
      </w:tr>
      <w:tr w:rsidR="00CD3A4B" w:rsidRPr="00BC11E0" w:rsidTr="00BC11E0">
        <w:trPr>
          <w:trHeight w:val="315"/>
          <w:jc w:val="center"/>
        </w:trPr>
        <w:tc>
          <w:tcPr>
            <w:tcW w:w="6824" w:type="dxa"/>
            <w:tcBorders>
              <w:top w:val="single" w:sz="4" w:space="0" w:color="auto"/>
              <w:left w:val="nil"/>
              <w:bottom w:val="single" w:sz="4" w:space="0" w:color="auto"/>
              <w:right w:val="nil"/>
            </w:tcBorders>
            <w:shd w:val="clear" w:color="auto" w:fill="auto"/>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Signature Xtra 60WDG 6.0 oz + Daconil Ultrex 82.5WDG 3.2 oz</w:t>
            </w:r>
          </w:p>
        </w:tc>
        <w:tc>
          <w:tcPr>
            <w:tcW w:w="759"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0.0</w:t>
            </w:r>
          </w:p>
        </w:tc>
        <w:tc>
          <w:tcPr>
            <w:tcW w:w="65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b</w:t>
            </w:r>
          </w:p>
        </w:tc>
        <w:tc>
          <w:tcPr>
            <w:tcW w:w="698"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8.3</w:t>
            </w:r>
          </w:p>
        </w:tc>
        <w:tc>
          <w:tcPr>
            <w:tcW w:w="427"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ab</w:t>
            </w:r>
          </w:p>
        </w:tc>
      </w:tr>
      <w:tr w:rsidR="00CD3A4B" w:rsidRPr="00BC11E0" w:rsidTr="00BC11E0">
        <w:trPr>
          <w:trHeight w:val="315"/>
          <w:jc w:val="center"/>
        </w:trPr>
        <w:tc>
          <w:tcPr>
            <w:tcW w:w="6824" w:type="dxa"/>
            <w:tcBorders>
              <w:top w:val="single" w:sz="4" w:space="0" w:color="auto"/>
              <w:left w:val="nil"/>
              <w:bottom w:val="single" w:sz="4" w:space="0" w:color="auto"/>
              <w:right w:val="nil"/>
            </w:tcBorders>
            <w:shd w:val="clear" w:color="auto" w:fill="auto"/>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xml:space="preserve">Signature 80WDG 4.0 oz + Daconil Ultrex 82.5 WDG 3.2 oz </w:t>
            </w:r>
          </w:p>
        </w:tc>
        <w:tc>
          <w:tcPr>
            <w:tcW w:w="759"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0.4</w:t>
            </w:r>
          </w:p>
        </w:tc>
        <w:tc>
          <w:tcPr>
            <w:tcW w:w="65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b</w:t>
            </w:r>
          </w:p>
        </w:tc>
        <w:tc>
          <w:tcPr>
            <w:tcW w:w="698"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7.5</w:t>
            </w:r>
          </w:p>
        </w:tc>
        <w:tc>
          <w:tcPr>
            <w:tcW w:w="427"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abc</w:t>
            </w:r>
          </w:p>
        </w:tc>
      </w:tr>
      <w:tr w:rsidR="00CD3A4B" w:rsidRPr="00BC11E0" w:rsidTr="00BC11E0">
        <w:trPr>
          <w:trHeight w:val="315"/>
          <w:jc w:val="center"/>
        </w:trPr>
        <w:tc>
          <w:tcPr>
            <w:tcW w:w="6824" w:type="dxa"/>
            <w:tcBorders>
              <w:top w:val="single" w:sz="4" w:space="0" w:color="auto"/>
              <w:left w:val="nil"/>
              <w:bottom w:val="single" w:sz="4" w:space="0" w:color="auto"/>
              <w:right w:val="nil"/>
            </w:tcBorders>
            <w:shd w:val="clear" w:color="auto" w:fill="auto"/>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xml:space="preserve">Signature 80WDG 4.0 oz </w:t>
            </w:r>
          </w:p>
        </w:tc>
        <w:tc>
          <w:tcPr>
            <w:tcW w:w="759"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0.3</w:t>
            </w:r>
          </w:p>
        </w:tc>
        <w:tc>
          <w:tcPr>
            <w:tcW w:w="65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b</w:t>
            </w:r>
          </w:p>
        </w:tc>
        <w:tc>
          <w:tcPr>
            <w:tcW w:w="698"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7.3</w:t>
            </w:r>
          </w:p>
        </w:tc>
        <w:tc>
          <w:tcPr>
            <w:tcW w:w="427"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c</w:t>
            </w:r>
          </w:p>
        </w:tc>
      </w:tr>
      <w:tr w:rsidR="00CD3A4B" w:rsidRPr="00BC11E0" w:rsidTr="00BC11E0">
        <w:trPr>
          <w:trHeight w:val="305"/>
          <w:jc w:val="center"/>
        </w:trPr>
        <w:tc>
          <w:tcPr>
            <w:tcW w:w="6824" w:type="dxa"/>
            <w:tcBorders>
              <w:top w:val="single" w:sz="4" w:space="0" w:color="auto"/>
              <w:left w:val="nil"/>
              <w:bottom w:val="single" w:sz="4" w:space="0" w:color="auto"/>
              <w:right w:val="nil"/>
            </w:tcBorders>
            <w:shd w:val="clear" w:color="auto" w:fill="auto"/>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Mirage 2.0SC 1.0 fl oz</w:t>
            </w:r>
          </w:p>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xml:space="preserve"> - rotated w/ Signature Xtra 60WDG 4.0 oz + Daconil Ultrex 82.5 WDG 3.2 oz</w:t>
            </w:r>
          </w:p>
        </w:tc>
        <w:tc>
          <w:tcPr>
            <w:tcW w:w="759"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0.0</w:t>
            </w:r>
          </w:p>
        </w:tc>
        <w:tc>
          <w:tcPr>
            <w:tcW w:w="65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b</w:t>
            </w:r>
          </w:p>
        </w:tc>
        <w:tc>
          <w:tcPr>
            <w:tcW w:w="698"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8.1</w:t>
            </w:r>
          </w:p>
        </w:tc>
        <w:tc>
          <w:tcPr>
            <w:tcW w:w="427"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abc</w:t>
            </w:r>
          </w:p>
        </w:tc>
      </w:tr>
      <w:tr w:rsidR="00CD3A4B" w:rsidRPr="00BC11E0" w:rsidTr="00BC11E0">
        <w:trPr>
          <w:trHeight w:val="422"/>
          <w:jc w:val="center"/>
        </w:trPr>
        <w:tc>
          <w:tcPr>
            <w:tcW w:w="6824" w:type="dxa"/>
            <w:tcBorders>
              <w:top w:val="single" w:sz="4" w:space="0" w:color="auto"/>
              <w:left w:val="nil"/>
              <w:bottom w:val="single" w:sz="4" w:space="0" w:color="auto"/>
              <w:right w:val="nil"/>
            </w:tcBorders>
            <w:shd w:val="clear" w:color="auto" w:fill="auto"/>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xml:space="preserve">Daconil Action 6.112SC 3.5 fl oz + Appear  4.1L 6.0 fl oz + Primo MAXX 1ME 0.1 fl oz </w:t>
            </w:r>
          </w:p>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xml:space="preserve"> - rotated w/ Heritage Action 50WG 0.2 oz + Primo MAXX </w:t>
            </w:r>
            <w:r w:rsidRPr="00BC11E0">
              <w:rPr>
                <w:rFonts w:ascii="Times New Roman" w:eastAsia="Times New Roman" w:hAnsi="Times New Roman" w:cs="Times New Roman"/>
                <w:sz w:val="18"/>
                <w:szCs w:val="18"/>
              </w:rPr>
              <w:t xml:space="preserve">1ME </w:t>
            </w:r>
            <w:r w:rsidRPr="00BC11E0">
              <w:rPr>
                <w:rFonts w:ascii="Times New Roman" w:eastAsia="Times New Roman" w:hAnsi="Times New Roman" w:cs="Times New Roman"/>
                <w:color w:val="000000"/>
                <w:sz w:val="18"/>
                <w:szCs w:val="18"/>
              </w:rPr>
              <w:t xml:space="preserve">0.1 fl oz </w:t>
            </w:r>
          </w:p>
        </w:tc>
        <w:tc>
          <w:tcPr>
            <w:tcW w:w="759"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0.0</w:t>
            </w:r>
          </w:p>
        </w:tc>
        <w:tc>
          <w:tcPr>
            <w:tcW w:w="65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b</w:t>
            </w:r>
          </w:p>
        </w:tc>
        <w:tc>
          <w:tcPr>
            <w:tcW w:w="698"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8.3</w:t>
            </w:r>
          </w:p>
        </w:tc>
        <w:tc>
          <w:tcPr>
            <w:tcW w:w="427"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ab</w:t>
            </w:r>
          </w:p>
        </w:tc>
      </w:tr>
      <w:tr w:rsidR="00CD3A4B" w:rsidRPr="00BC11E0" w:rsidTr="00BC11E0">
        <w:trPr>
          <w:trHeight w:val="285"/>
          <w:jc w:val="center"/>
        </w:trPr>
        <w:tc>
          <w:tcPr>
            <w:tcW w:w="6824" w:type="dxa"/>
            <w:tcBorders>
              <w:top w:val="single" w:sz="4" w:space="0" w:color="auto"/>
              <w:left w:val="nil"/>
              <w:bottom w:val="single" w:sz="4" w:space="0" w:color="auto"/>
              <w:right w:val="nil"/>
            </w:tcBorders>
            <w:shd w:val="clear" w:color="auto" w:fill="auto"/>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xml:space="preserve">Daconil Action 6.112SC 3.5 fl oz + Appear  4.1L 6.0 fl oz + Primo MAXX </w:t>
            </w:r>
            <w:r w:rsidRPr="00BC11E0">
              <w:rPr>
                <w:rFonts w:ascii="Times New Roman" w:eastAsia="Times New Roman" w:hAnsi="Times New Roman" w:cs="Times New Roman"/>
                <w:sz w:val="18"/>
                <w:szCs w:val="18"/>
              </w:rPr>
              <w:t xml:space="preserve">1ME </w:t>
            </w:r>
            <w:r w:rsidRPr="00BC11E0">
              <w:rPr>
                <w:rFonts w:ascii="Times New Roman" w:eastAsia="Times New Roman" w:hAnsi="Times New Roman" w:cs="Times New Roman"/>
                <w:color w:val="000000"/>
                <w:sz w:val="18"/>
                <w:szCs w:val="18"/>
              </w:rPr>
              <w:t xml:space="preserve">0.1 fl oz </w:t>
            </w:r>
          </w:p>
        </w:tc>
        <w:tc>
          <w:tcPr>
            <w:tcW w:w="759"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0.2</w:t>
            </w:r>
          </w:p>
        </w:tc>
        <w:tc>
          <w:tcPr>
            <w:tcW w:w="65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b</w:t>
            </w:r>
          </w:p>
        </w:tc>
        <w:tc>
          <w:tcPr>
            <w:tcW w:w="698"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8.0</w:t>
            </w:r>
          </w:p>
        </w:tc>
        <w:tc>
          <w:tcPr>
            <w:tcW w:w="427"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abc</w:t>
            </w:r>
          </w:p>
        </w:tc>
      </w:tr>
      <w:tr w:rsidR="00CD3A4B" w:rsidRPr="00BC11E0" w:rsidTr="00BC11E0">
        <w:trPr>
          <w:trHeight w:val="330"/>
          <w:jc w:val="center"/>
        </w:trPr>
        <w:tc>
          <w:tcPr>
            <w:tcW w:w="6824" w:type="dxa"/>
            <w:tcBorders>
              <w:top w:val="single" w:sz="4" w:space="0" w:color="auto"/>
              <w:left w:val="nil"/>
              <w:bottom w:val="single" w:sz="4" w:space="0" w:color="auto"/>
              <w:right w:val="nil"/>
            </w:tcBorders>
            <w:shd w:val="clear" w:color="auto" w:fill="auto"/>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Daconil Weather Stik 6SC 3.6 fl oz + Signature 80WDG 4.0 oz</w:t>
            </w:r>
          </w:p>
        </w:tc>
        <w:tc>
          <w:tcPr>
            <w:tcW w:w="759"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0.3</w:t>
            </w:r>
          </w:p>
        </w:tc>
        <w:tc>
          <w:tcPr>
            <w:tcW w:w="65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b</w:t>
            </w:r>
          </w:p>
        </w:tc>
        <w:tc>
          <w:tcPr>
            <w:tcW w:w="698"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7.3</w:t>
            </w:r>
          </w:p>
        </w:tc>
        <w:tc>
          <w:tcPr>
            <w:tcW w:w="427"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c</w:t>
            </w:r>
          </w:p>
        </w:tc>
      </w:tr>
      <w:tr w:rsidR="00CD3A4B" w:rsidRPr="00BC11E0" w:rsidTr="00BC11E0">
        <w:trPr>
          <w:trHeight w:val="440"/>
          <w:jc w:val="center"/>
        </w:trPr>
        <w:tc>
          <w:tcPr>
            <w:tcW w:w="6824" w:type="dxa"/>
            <w:tcBorders>
              <w:top w:val="single" w:sz="4" w:space="0" w:color="auto"/>
              <w:left w:val="nil"/>
              <w:bottom w:val="single" w:sz="4" w:space="0" w:color="auto"/>
              <w:right w:val="nil"/>
            </w:tcBorders>
            <w:shd w:val="clear" w:color="auto" w:fill="auto"/>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xml:space="preserve">Daconil  Action 6.112SC 3.5 fl oz + Appear 4.1L 6.0 fl oz + Primo MAXX </w:t>
            </w:r>
            <w:r w:rsidRPr="00BC11E0">
              <w:rPr>
                <w:rFonts w:ascii="Times New Roman" w:eastAsia="Times New Roman" w:hAnsi="Times New Roman" w:cs="Times New Roman"/>
                <w:sz w:val="18"/>
                <w:szCs w:val="18"/>
              </w:rPr>
              <w:t xml:space="preserve">1ME </w:t>
            </w:r>
            <w:r w:rsidRPr="00BC11E0">
              <w:rPr>
                <w:rFonts w:ascii="Times New Roman" w:eastAsia="Times New Roman" w:hAnsi="Times New Roman" w:cs="Times New Roman"/>
                <w:color w:val="000000"/>
                <w:sz w:val="18"/>
                <w:szCs w:val="18"/>
              </w:rPr>
              <w:t>0.1 fl oz</w:t>
            </w:r>
          </w:p>
          <w:p w:rsidR="00CD3A4B" w:rsidRPr="00BC11E0" w:rsidRDefault="00CD3A4B" w:rsidP="00CD3A4B">
            <w:pPr>
              <w:spacing w:after="0" w:line="240" w:lineRule="auto"/>
              <w:ind w:left="162" w:hanging="162"/>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xml:space="preserve"> - rotated w/ Velista 50WG 0.5 oz + Appear 4.1L 6.0 fl oz + Primo MAXX </w:t>
            </w:r>
            <w:r w:rsidRPr="00BC11E0">
              <w:rPr>
                <w:rFonts w:ascii="Times New Roman" w:eastAsia="Times New Roman" w:hAnsi="Times New Roman" w:cs="Times New Roman"/>
                <w:sz w:val="18"/>
                <w:szCs w:val="18"/>
              </w:rPr>
              <w:t xml:space="preserve">1ME </w:t>
            </w:r>
            <w:r w:rsidRPr="00BC11E0">
              <w:rPr>
                <w:rFonts w:ascii="Times New Roman" w:eastAsia="Times New Roman" w:hAnsi="Times New Roman" w:cs="Times New Roman"/>
                <w:color w:val="000000"/>
                <w:sz w:val="18"/>
                <w:szCs w:val="18"/>
              </w:rPr>
              <w:t>0.1 fl oz</w:t>
            </w:r>
          </w:p>
        </w:tc>
        <w:tc>
          <w:tcPr>
            <w:tcW w:w="759"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0.0</w:t>
            </w:r>
          </w:p>
        </w:tc>
        <w:tc>
          <w:tcPr>
            <w:tcW w:w="65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b</w:t>
            </w:r>
          </w:p>
        </w:tc>
        <w:tc>
          <w:tcPr>
            <w:tcW w:w="698"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8.1</w:t>
            </w:r>
          </w:p>
        </w:tc>
        <w:tc>
          <w:tcPr>
            <w:tcW w:w="427"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abc</w:t>
            </w:r>
          </w:p>
        </w:tc>
      </w:tr>
      <w:tr w:rsidR="00CD3A4B" w:rsidRPr="00BC11E0" w:rsidTr="00BC11E0">
        <w:trPr>
          <w:trHeight w:val="107"/>
          <w:jc w:val="center"/>
        </w:trPr>
        <w:tc>
          <w:tcPr>
            <w:tcW w:w="6824" w:type="dxa"/>
            <w:tcBorders>
              <w:top w:val="single" w:sz="4" w:space="0" w:color="auto"/>
              <w:left w:val="nil"/>
              <w:bottom w:val="single" w:sz="4" w:space="0" w:color="auto"/>
              <w:right w:val="nil"/>
            </w:tcBorders>
            <w:shd w:val="clear" w:color="auto" w:fill="auto"/>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Daconil Action 6.112SC 3.5 fl oz + Heritage Action 50WG 0.5 oz + Appear 4.1L 6.0 fl oz</w:t>
            </w:r>
          </w:p>
        </w:tc>
        <w:tc>
          <w:tcPr>
            <w:tcW w:w="759"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0.1</w:t>
            </w:r>
          </w:p>
        </w:tc>
        <w:tc>
          <w:tcPr>
            <w:tcW w:w="65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b</w:t>
            </w:r>
          </w:p>
        </w:tc>
        <w:tc>
          <w:tcPr>
            <w:tcW w:w="698"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7.8</w:t>
            </w:r>
          </w:p>
        </w:tc>
        <w:tc>
          <w:tcPr>
            <w:tcW w:w="427"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abc</w:t>
            </w:r>
          </w:p>
        </w:tc>
      </w:tr>
      <w:tr w:rsidR="00CD3A4B" w:rsidRPr="00BC11E0" w:rsidTr="00BC11E0">
        <w:trPr>
          <w:trHeight w:val="296"/>
          <w:jc w:val="center"/>
        </w:trPr>
        <w:tc>
          <w:tcPr>
            <w:tcW w:w="6824" w:type="dxa"/>
            <w:tcBorders>
              <w:top w:val="single" w:sz="4" w:space="0" w:color="auto"/>
              <w:left w:val="nil"/>
              <w:bottom w:val="single" w:sz="4" w:space="0" w:color="auto"/>
              <w:right w:val="nil"/>
            </w:tcBorders>
            <w:shd w:val="clear" w:color="auto" w:fill="auto"/>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 xml:space="preserve">Insignia </w:t>
            </w:r>
            <w:r w:rsidRPr="00BC11E0">
              <w:rPr>
                <w:rFonts w:ascii="Times New Roman" w:eastAsia="Times New Roman" w:hAnsi="Times New Roman" w:cs="Times New Roman"/>
                <w:sz w:val="18"/>
                <w:szCs w:val="18"/>
              </w:rPr>
              <w:t>2.08SC</w:t>
            </w:r>
            <w:r w:rsidRPr="00BC11E0">
              <w:rPr>
                <w:rFonts w:ascii="Times New Roman" w:eastAsia="Times New Roman" w:hAnsi="Times New Roman" w:cs="Times New Roman"/>
                <w:color w:val="000000"/>
                <w:sz w:val="18"/>
                <w:szCs w:val="18"/>
              </w:rPr>
              <w:t>0.4 fl oz + Daconil Weather Stik 6F 3.6 fl oz</w:t>
            </w:r>
          </w:p>
        </w:tc>
        <w:tc>
          <w:tcPr>
            <w:tcW w:w="759"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0.0</w:t>
            </w:r>
          </w:p>
        </w:tc>
        <w:tc>
          <w:tcPr>
            <w:tcW w:w="652"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b</w:t>
            </w:r>
          </w:p>
        </w:tc>
        <w:tc>
          <w:tcPr>
            <w:tcW w:w="698"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jc w:val="right"/>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7.5</w:t>
            </w:r>
          </w:p>
        </w:tc>
        <w:tc>
          <w:tcPr>
            <w:tcW w:w="427" w:type="dxa"/>
            <w:tcBorders>
              <w:top w:val="single" w:sz="4" w:space="0" w:color="auto"/>
              <w:left w:val="nil"/>
              <w:bottom w:val="single" w:sz="4" w:space="0" w:color="auto"/>
              <w:right w:val="nil"/>
            </w:tcBorders>
            <w:shd w:val="clear" w:color="auto" w:fill="auto"/>
            <w:noWrap/>
            <w:vAlign w:val="bottom"/>
            <w:hideMark/>
          </w:tcPr>
          <w:p w:rsidR="00CD3A4B" w:rsidRPr="00BC11E0" w:rsidRDefault="00CD3A4B" w:rsidP="00CD3A4B">
            <w:pPr>
              <w:spacing w:after="0" w:line="240" w:lineRule="auto"/>
              <w:rPr>
                <w:rFonts w:ascii="Times New Roman" w:eastAsia="Times New Roman" w:hAnsi="Times New Roman" w:cs="Times New Roman"/>
                <w:color w:val="000000"/>
                <w:sz w:val="18"/>
                <w:szCs w:val="18"/>
              </w:rPr>
            </w:pPr>
            <w:r w:rsidRPr="00BC11E0">
              <w:rPr>
                <w:rFonts w:ascii="Times New Roman" w:eastAsia="Times New Roman" w:hAnsi="Times New Roman" w:cs="Times New Roman"/>
                <w:color w:val="000000"/>
                <w:sz w:val="18"/>
                <w:szCs w:val="18"/>
              </w:rPr>
              <w:t>abc</w:t>
            </w:r>
          </w:p>
        </w:tc>
      </w:tr>
    </w:tbl>
    <w:p w:rsidR="00CD3A4B" w:rsidRPr="00BC11E0" w:rsidRDefault="00CD3A4B" w:rsidP="00CD3A4B">
      <w:pPr>
        <w:spacing w:after="0" w:line="240" w:lineRule="auto"/>
        <w:ind w:left="360" w:hanging="360"/>
        <w:rPr>
          <w:rFonts w:ascii="Times New Roman" w:eastAsia="Times New Roman" w:hAnsi="Times New Roman" w:cs="Times New Roman"/>
          <w:sz w:val="18"/>
          <w:szCs w:val="18"/>
        </w:rPr>
      </w:pPr>
      <w:r w:rsidRPr="00BC11E0">
        <w:rPr>
          <w:rFonts w:ascii="Times New Roman" w:eastAsia="Times New Roman" w:hAnsi="Times New Roman" w:cs="Times New Roman"/>
          <w:sz w:val="18"/>
          <w:szCs w:val="18"/>
          <w:vertAlign w:val="superscript"/>
        </w:rPr>
        <w:t>z</w:t>
      </w:r>
      <w:r w:rsidRPr="00BC11E0">
        <w:rPr>
          <w:rFonts w:ascii="Times New Roman" w:eastAsia="Times New Roman" w:hAnsi="Times New Roman" w:cs="Times New Roman"/>
          <w:sz w:val="18"/>
          <w:szCs w:val="18"/>
        </w:rPr>
        <w:t xml:space="preserve"> All treatments were applied every 2 weeks except for the mix of Signature Xtra (2.0 oz) + Daconil Ultrex (3.2 oz) which was applied weekly.</w:t>
      </w:r>
    </w:p>
    <w:p w:rsidR="00CD3A4B" w:rsidRPr="00BC11E0" w:rsidRDefault="00CD3A4B" w:rsidP="00CD3A4B">
      <w:pPr>
        <w:spacing w:after="0" w:line="240" w:lineRule="auto"/>
        <w:ind w:left="360" w:hanging="360"/>
        <w:rPr>
          <w:rFonts w:ascii="Times New Roman" w:eastAsia="Times New Roman" w:hAnsi="Times New Roman" w:cs="Times New Roman"/>
          <w:sz w:val="18"/>
          <w:szCs w:val="18"/>
        </w:rPr>
      </w:pPr>
      <w:r w:rsidRPr="00BC11E0">
        <w:rPr>
          <w:rFonts w:ascii="Times New Roman" w:eastAsia="Times New Roman" w:hAnsi="Times New Roman" w:cs="Times New Roman"/>
          <w:sz w:val="18"/>
          <w:szCs w:val="18"/>
          <w:vertAlign w:val="superscript"/>
        </w:rPr>
        <w:t xml:space="preserve">y </w:t>
      </w:r>
      <w:r w:rsidRPr="00BC11E0">
        <w:rPr>
          <w:rFonts w:ascii="Times New Roman" w:eastAsia="Times New Roman" w:hAnsi="Times New Roman" w:cs="Times New Roman"/>
          <w:sz w:val="18"/>
          <w:szCs w:val="18"/>
        </w:rPr>
        <w:t xml:space="preserve">Mean percent disease ratings are based on a 0 to 100% scale in four replicated plots.  </w:t>
      </w:r>
    </w:p>
    <w:p w:rsidR="00CD3A4B" w:rsidRPr="00BC11E0" w:rsidRDefault="00CD3A4B" w:rsidP="00CD3A4B">
      <w:pPr>
        <w:spacing w:after="0" w:line="240" w:lineRule="auto"/>
        <w:ind w:left="360" w:hanging="360"/>
        <w:rPr>
          <w:rFonts w:ascii="Times New Roman" w:eastAsia="Times New Roman" w:hAnsi="Times New Roman" w:cs="Times New Roman"/>
          <w:sz w:val="18"/>
          <w:szCs w:val="18"/>
        </w:rPr>
      </w:pPr>
      <w:r w:rsidRPr="00BC11E0">
        <w:rPr>
          <w:rFonts w:ascii="Times New Roman" w:eastAsia="Times New Roman" w:hAnsi="Times New Roman" w:cs="Times New Roman"/>
          <w:sz w:val="18"/>
          <w:szCs w:val="18"/>
          <w:vertAlign w:val="superscript"/>
        </w:rPr>
        <w:t>x</w:t>
      </w:r>
      <w:r w:rsidRPr="00BC11E0">
        <w:rPr>
          <w:rFonts w:ascii="Times New Roman" w:eastAsia="Times New Roman" w:hAnsi="Times New Roman" w:cs="Times New Roman"/>
          <w:sz w:val="18"/>
          <w:szCs w:val="18"/>
        </w:rPr>
        <w:t xml:space="preserve"> Turf quality ratings are based on 1 to 9 scale (9 = best, 6.0 is acceptable).  </w:t>
      </w:r>
    </w:p>
    <w:p w:rsidR="00CC5A38" w:rsidRDefault="00CD3A4B" w:rsidP="00CD3A4B">
      <w:pPr>
        <w:spacing w:after="0" w:line="240" w:lineRule="auto"/>
        <w:ind w:left="360" w:hanging="360"/>
        <w:rPr>
          <w:rFonts w:ascii="Times New Roman" w:eastAsia="Times New Roman" w:hAnsi="Times New Roman" w:cs="Times New Roman"/>
          <w:sz w:val="20"/>
          <w:szCs w:val="20"/>
        </w:rPr>
      </w:pPr>
      <w:r w:rsidRPr="00BC11E0">
        <w:rPr>
          <w:rFonts w:ascii="Times New Roman" w:eastAsia="Times New Roman" w:hAnsi="Times New Roman" w:cs="Times New Roman"/>
          <w:sz w:val="18"/>
          <w:szCs w:val="18"/>
          <w:vertAlign w:val="superscript"/>
        </w:rPr>
        <w:t>w</w:t>
      </w:r>
      <w:r w:rsidRPr="00BC11E0">
        <w:rPr>
          <w:rFonts w:ascii="Times New Roman" w:eastAsia="Times New Roman" w:hAnsi="Times New Roman" w:cs="Times New Roman"/>
          <w:sz w:val="18"/>
          <w:szCs w:val="18"/>
        </w:rPr>
        <w:t xml:space="preserve"> Means followed by the same letter are not significantly different according to Fishers’ pr</w:t>
      </w:r>
      <w:r w:rsidRPr="00CD3A4B">
        <w:rPr>
          <w:rFonts w:ascii="Times New Roman" w:eastAsia="Times New Roman" w:hAnsi="Times New Roman" w:cs="Times New Roman"/>
          <w:sz w:val="20"/>
          <w:szCs w:val="20"/>
        </w:rPr>
        <w:t xml:space="preserve">otected LSD (α=0.05). </w:t>
      </w:r>
    </w:p>
    <w:p w:rsidR="00CC5A38" w:rsidRDefault="00CC5A38">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CC5A38" w:rsidRDefault="00CC5A38">
      <w:pPr>
        <w:rPr>
          <w:rFonts w:ascii="Times New Roman" w:eastAsia="Times New Roman" w:hAnsi="Times New Roman" w:cs="Times New Roman"/>
          <w:sz w:val="20"/>
          <w:szCs w:val="20"/>
        </w:rPr>
      </w:pPr>
      <w:r w:rsidRPr="00CC5A38">
        <w:rPr>
          <w:noProof/>
        </w:rPr>
        <w:lastRenderedPageBreak/>
        <w:drawing>
          <wp:anchor distT="0" distB="0" distL="114300" distR="114300" simplePos="0" relativeHeight="251668480" behindDoc="1" locked="0" layoutInCell="1" allowOverlap="1" wp14:anchorId="0DC22EB1" wp14:editId="6D85F0F9">
            <wp:simplePos x="0" y="0"/>
            <wp:positionH relativeFrom="column">
              <wp:posOffset>-464820</wp:posOffset>
            </wp:positionH>
            <wp:positionV relativeFrom="paragraph">
              <wp:posOffset>-541020</wp:posOffset>
            </wp:positionV>
            <wp:extent cx="6872605" cy="8877300"/>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1849"/>
                    <a:stretch/>
                  </pic:blipFill>
                  <pic:spPr bwMode="auto">
                    <a:xfrm>
                      <a:off x="0" y="0"/>
                      <a:ext cx="6872605" cy="8877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C5A38" w:rsidRDefault="00CC5A38" w:rsidP="00CC5A38">
      <w:pPr>
        <w:spacing w:after="0" w:line="240" w:lineRule="auto"/>
        <w:ind w:left="360" w:hanging="360"/>
        <w:jc w:val="center"/>
        <w:rPr>
          <w:rFonts w:ascii="Times New Roman" w:eastAsia="Times New Roman" w:hAnsi="Times New Roman" w:cs="Times New Roman"/>
          <w:sz w:val="20"/>
          <w:szCs w:val="20"/>
        </w:rPr>
      </w:pPr>
    </w:p>
    <w:p w:rsidR="00CC5A38" w:rsidRDefault="00CC5A38">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CC5A38" w:rsidRDefault="00CC5A38">
      <w:pPr>
        <w:rPr>
          <w:rFonts w:ascii="Times New Roman" w:eastAsia="Times New Roman" w:hAnsi="Times New Roman" w:cs="Times New Roman"/>
          <w:sz w:val="20"/>
          <w:szCs w:val="20"/>
        </w:rPr>
      </w:pPr>
      <w:r w:rsidRPr="00CC5A38">
        <w:rPr>
          <w:noProof/>
        </w:rPr>
        <w:lastRenderedPageBreak/>
        <w:drawing>
          <wp:anchor distT="0" distB="0" distL="114300" distR="114300" simplePos="0" relativeHeight="251669504" behindDoc="0" locked="0" layoutInCell="1" allowOverlap="1">
            <wp:simplePos x="0" y="0"/>
            <wp:positionH relativeFrom="column">
              <wp:posOffset>-238208</wp:posOffset>
            </wp:positionH>
            <wp:positionV relativeFrom="paragraph">
              <wp:posOffset>-388620</wp:posOffset>
            </wp:positionV>
            <wp:extent cx="6456079" cy="8511540"/>
            <wp:effectExtent l="0" t="0" r="190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58784" cy="851510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szCs w:val="20"/>
        </w:rPr>
        <w:br w:type="page"/>
      </w:r>
    </w:p>
    <w:p w:rsidR="00CC5A38" w:rsidRDefault="00CC5A38">
      <w:pPr>
        <w:rPr>
          <w:rFonts w:ascii="Times New Roman" w:eastAsia="Times New Roman" w:hAnsi="Times New Roman" w:cs="Times New Roman"/>
          <w:sz w:val="20"/>
          <w:szCs w:val="20"/>
        </w:rPr>
      </w:pPr>
      <w:r w:rsidRPr="00CC5A38">
        <w:rPr>
          <w:noProof/>
        </w:rPr>
        <w:lastRenderedPageBreak/>
        <w:drawing>
          <wp:anchor distT="0" distB="0" distL="114300" distR="114300" simplePos="0" relativeHeight="251670528" behindDoc="1" locked="0" layoutInCell="1" allowOverlap="1">
            <wp:simplePos x="0" y="0"/>
            <wp:positionH relativeFrom="column">
              <wp:posOffset>-304800</wp:posOffset>
            </wp:positionH>
            <wp:positionV relativeFrom="paragraph">
              <wp:posOffset>-320040</wp:posOffset>
            </wp:positionV>
            <wp:extent cx="6545519" cy="8619664"/>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45519" cy="861966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0"/>
          <w:szCs w:val="20"/>
        </w:rPr>
        <w:br w:type="page"/>
      </w:r>
    </w:p>
    <w:p w:rsidR="00CC5A38" w:rsidRPr="00CC5A38" w:rsidRDefault="00CC5A38" w:rsidP="00CC5A38">
      <w:pPr>
        <w:autoSpaceDE w:val="0"/>
        <w:autoSpaceDN w:val="0"/>
        <w:adjustRightInd w:val="0"/>
        <w:spacing w:after="0" w:line="240" w:lineRule="auto"/>
        <w:jc w:val="center"/>
        <w:rPr>
          <w:rFonts w:cs="Calibri"/>
          <w:b/>
          <w:smallCaps/>
          <w:sz w:val="28"/>
          <w:szCs w:val="28"/>
        </w:rPr>
      </w:pPr>
      <w:r w:rsidRPr="00CC5A38">
        <w:rPr>
          <w:rFonts w:cs="Calibri"/>
          <w:b/>
          <w:smallCaps/>
          <w:noProof/>
          <w:sz w:val="28"/>
          <w:szCs w:val="28"/>
        </w:rPr>
        <w:lastRenderedPageBreak/>
        <mc:AlternateContent>
          <mc:Choice Requires="wps">
            <w:drawing>
              <wp:anchor distT="0" distB="0" distL="114300" distR="114300" simplePos="0" relativeHeight="251667456" behindDoc="1" locked="0" layoutInCell="1" allowOverlap="1" wp14:anchorId="0D7DFAAC" wp14:editId="35064C1C">
                <wp:simplePos x="0" y="0"/>
                <wp:positionH relativeFrom="column">
                  <wp:posOffset>-38100</wp:posOffset>
                </wp:positionH>
                <wp:positionV relativeFrom="paragraph">
                  <wp:posOffset>-123825</wp:posOffset>
                </wp:positionV>
                <wp:extent cx="6019800" cy="4095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6019800" cy="409575"/>
                        </a:xfrm>
                        <a:prstGeom prst="rect">
                          <a:avLst/>
                        </a:prstGeom>
                        <a:solidFill>
                          <a:srgbClr val="ED7D3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FB615" id="Rectangle 8" o:spid="_x0000_s1026" style="position:absolute;margin-left:-3pt;margin-top:-9.75pt;width:474pt;height:32.2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" fillcolor="#ed7d31" strokecolor="windowText" strokeweight="1pt"/>
            </w:pict>
          </mc:Fallback>
        </mc:AlternateContent>
      </w:r>
      <w:r w:rsidRPr="00CC5A38">
        <w:rPr>
          <w:rFonts w:cs="Calibri"/>
          <w:b/>
          <w:smallCaps/>
          <w:sz w:val="28"/>
          <w:szCs w:val="28"/>
        </w:rPr>
        <w:t>OSU Turf Technician Reports (2014 to Present)</w:t>
      </w:r>
    </w:p>
    <w:p w:rsidR="00CC5A38" w:rsidRPr="00CC5A38" w:rsidRDefault="00CC5A38" w:rsidP="00CC5A38">
      <w:pPr>
        <w:autoSpaceDE w:val="0"/>
        <w:autoSpaceDN w:val="0"/>
        <w:adjustRightInd w:val="0"/>
        <w:spacing w:after="0" w:line="240" w:lineRule="auto"/>
        <w:jc w:val="center"/>
        <w:rPr>
          <w:rFonts w:cs="Calibri"/>
          <w:b/>
          <w:sz w:val="24"/>
          <w:szCs w:val="24"/>
        </w:rPr>
      </w:pPr>
    </w:p>
    <w:p w:rsidR="00CC5A38" w:rsidRPr="00CC5A38" w:rsidRDefault="00CC5A38" w:rsidP="00CC5A38">
      <w:pPr>
        <w:spacing w:after="0" w:line="240" w:lineRule="auto"/>
        <w:jc w:val="both"/>
        <w:rPr>
          <w:rFonts w:eastAsiaTheme="minorEastAsia"/>
          <w:sz w:val="24"/>
          <w:szCs w:val="24"/>
        </w:rPr>
      </w:pPr>
      <w:r w:rsidRPr="00CC5A38">
        <w:rPr>
          <w:rFonts w:eastAsiaTheme="minorEastAsia"/>
          <w:sz w:val="24"/>
          <w:szCs w:val="24"/>
        </w:rPr>
        <w:t xml:space="preserve">In 2014, Brian McDonald was awarded the industry funded OSU Turf Technician position ($75,000 per year) provided by the following donors: Oregon Turfgrass Foundation, Oregon Golf Course Superintendents Association, Oregon Golf Association (for a combined $50,000 annually), Bandon Dunes Resort ($10,000 annually), Turf Merchants, Inc. ($10,000 annually), and Pure Seed Testing, Inc. ($5,000 annually).  The OSU Turf Program would like to thank these generous donors by documenting the progress achieved by the OSU Turf Technician since 2014 with the following report. </w:t>
      </w:r>
    </w:p>
    <w:p w:rsidR="00CC5A38" w:rsidRPr="00CC5A38" w:rsidRDefault="00CC5A38" w:rsidP="00CC5A38">
      <w:pPr>
        <w:spacing w:after="0" w:line="240" w:lineRule="auto"/>
        <w:rPr>
          <w:rFonts w:eastAsiaTheme="minorEastAsia"/>
          <w:b/>
          <w:sz w:val="24"/>
          <w:szCs w:val="24"/>
        </w:rPr>
      </w:pPr>
      <w:r w:rsidRPr="00CC5A38">
        <w:rPr>
          <w:rFonts w:eastAsiaTheme="minorEastAsia"/>
          <w:noProof/>
        </w:rPr>
        <w:drawing>
          <wp:anchor distT="0" distB="0" distL="114300" distR="114300" simplePos="0" relativeHeight="251664384" behindDoc="1" locked="0" layoutInCell="1" allowOverlap="1" wp14:anchorId="4DA2ADC8" wp14:editId="74F1A2CD">
            <wp:simplePos x="0" y="0"/>
            <wp:positionH relativeFrom="column">
              <wp:posOffset>4019550</wp:posOffset>
            </wp:positionH>
            <wp:positionV relativeFrom="paragraph">
              <wp:posOffset>87630</wp:posOffset>
            </wp:positionV>
            <wp:extent cx="2140585" cy="2724150"/>
            <wp:effectExtent l="76200" t="76200" r="126365" b="133350"/>
            <wp:wrapTight wrapText="bothSides">
              <wp:wrapPolygon edited="0">
                <wp:start x="-384" y="-604"/>
                <wp:lineTo x="-769" y="-453"/>
                <wp:lineTo x="-769" y="21902"/>
                <wp:lineTo x="-384" y="22506"/>
                <wp:lineTo x="22298" y="22506"/>
                <wp:lineTo x="22683" y="21449"/>
                <wp:lineTo x="22683" y="1964"/>
                <wp:lineTo x="22298" y="-302"/>
                <wp:lineTo x="22298" y="-604"/>
                <wp:lineTo x="-384" y="-604"/>
              </wp:wrapPolygon>
            </wp:wrapTight>
            <wp:docPr id="10" name="Picture 3" descr="E:\_Genie Timeline(3)\0\C\Users\kowalewskia\Pictures\OSU 2012 to present\School IPM Training\IPPC Training (Salem, OR)\DSC0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_Genie Timeline(3)\0\C\Users\kowalewskia\Pictures\OSU 2012 to present\School IPM Training\IPPC Training (Salem, OR)\DSC003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056"/>
                    <a:stretch/>
                  </pic:blipFill>
                  <pic:spPr bwMode="auto">
                    <a:xfrm>
                      <a:off x="0" y="0"/>
                      <a:ext cx="2140585" cy="27241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5A38" w:rsidRPr="00CC5A38" w:rsidRDefault="00CC5A38" w:rsidP="00CC5A38">
      <w:pPr>
        <w:spacing w:after="0" w:line="240" w:lineRule="auto"/>
        <w:rPr>
          <w:rFonts w:eastAsiaTheme="minorEastAsia"/>
          <w:b/>
          <w:sz w:val="24"/>
          <w:szCs w:val="24"/>
        </w:rPr>
      </w:pPr>
      <w:r w:rsidRPr="00CC5A38">
        <w:rPr>
          <w:rFonts w:eastAsiaTheme="minorEastAsia"/>
          <w:b/>
          <w:sz w:val="24"/>
          <w:szCs w:val="24"/>
        </w:rPr>
        <w:t xml:space="preserve">Extension and Outreach (2014 to present): </w:t>
      </w:r>
    </w:p>
    <w:p w:rsidR="00CC5A38" w:rsidRPr="00CC5A38" w:rsidRDefault="00CC5A38" w:rsidP="00CC5A38">
      <w:pPr>
        <w:numPr>
          <w:ilvl w:val="0"/>
          <w:numId w:val="2"/>
        </w:numPr>
        <w:spacing w:after="0" w:line="240" w:lineRule="auto"/>
        <w:rPr>
          <w:rFonts w:eastAsiaTheme="minorEastAsia"/>
          <w:i/>
          <w:sz w:val="24"/>
          <w:szCs w:val="24"/>
          <w:u w:val="single"/>
        </w:rPr>
      </w:pPr>
      <w:r w:rsidRPr="00CC5A38">
        <w:rPr>
          <w:rFonts w:eastAsiaTheme="minorEastAsia"/>
          <w:i/>
          <w:sz w:val="24"/>
          <w:szCs w:val="24"/>
          <w:u w:val="single"/>
        </w:rPr>
        <w:t>Stakeholders Reached: 3,375</w:t>
      </w:r>
    </w:p>
    <w:p w:rsidR="00CC5A38" w:rsidRPr="00CC5A38" w:rsidRDefault="00CC5A38" w:rsidP="00CC5A38">
      <w:pPr>
        <w:numPr>
          <w:ilvl w:val="0"/>
          <w:numId w:val="2"/>
        </w:numPr>
        <w:spacing w:after="0" w:line="240" w:lineRule="auto"/>
        <w:rPr>
          <w:rFonts w:eastAsiaTheme="minorEastAsia"/>
          <w:i/>
          <w:sz w:val="24"/>
          <w:szCs w:val="24"/>
          <w:u w:val="single"/>
        </w:rPr>
      </w:pPr>
      <w:r w:rsidRPr="00CC5A38">
        <w:rPr>
          <w:rFonts w:eastAsiaTheme="minorEastAsia"/>
          <w:i/>
          <w:sz w:val="24"/>
          <w:szCs w:val="24"/>
          <w:u w:val="single"/>
        </w:rPr>
        <w:t>Presentations: 23</w:t>
      </w:r>
      <w:r w:rsidRPr="00CC5A38">
        <w:rPr>
          <w:rFonts w:eastAsiaTheme="minorEastAsia"/>
          <w:i/>
          <w:noProof/>
          <w:u w:val="single"/>
        </w:rPr>
        <w:t xml:space="preserve"> </w:t>
      </w:r>
    </w:p>
    <w:p w:rsidR="00CC5A38" w:rsidRPr="00CC5A38" w:rsidRDefault="00CC5A38" w:rsidP="00CC5A38">
      <w:pPr>
        <w:spacing w:after="0" w:line="240" w:lineRule="auto"/>
        <w:ind w:left="720"/>
        <w:jc w:val="both"/>
        <w:rPr>
          <w:rFonts w:eastAsiaTheme="minorEastAsia"/>
          <w:b/>
          <w:sz w:val="24"/>
          <w:szCs w:val="24"/>
        </w:rPr>
      </w:pPr>
    </w:p>
    <w:p w:rsidR="00CC5A38" w:rsidRPr="00CC5A38" w:rsidRDefault="00CC5A38" w:rsidP="00CC5A38">
      <w:pPr>
        <w:spacing w:after="0" w:line="240" w:lineRule="auto"/>
        <w:jc w:val="both"/>
        <w:rPr>
          <w:rFonts w:eastAsiaTheme="minorEastAsia"/>
          <w:b/>
          <w:sz w:val="24"/>
          <w:szCs w:val="24"/>
        </w:rPr>
      </w:pPr>
      <w:r w:rsidRPr="00CC5A38">
        <w:rPr>
          <w:rFonts w:eastAsiaTheme="minorEastAsia"/>
          <w:sz w:val="24"/>
          <w:szCs w:val="24"/>
        </w:rPr>
        <w:t xml:space="preserve">Brian is an active member of the OSU Turf Extension program regularly speaking to stakeholder group such as the golf course employees, pesticide applicators, public school grounds employees, and parks and recreation department employees.    </w:t>
      </w:r>
    </w:p>
    <w:p w:rsidR="00CC5A38" w:rsidRPr="00CC5A38" w:rsidRDefault="00CC5A38" w:rsidP="00CC5A38">
      <w:pPr>
        <w:spacing w:after="0" w:line="240" w:lineRule="auto"/>
        <w:rPr>
          <w:rFonts w:eastAsiaTheme="minorEastAsia"/>
          <w:sz w:val="24"/>
          <w:szCs w:val="24"/>
        </w:rPr>
      </w:pPr>
    </w:p>
    <w:p w:rsidR="00CC5A38" w:rsidRPr="00CC5A38" w:rsidRDefault="00CC5A38" w:rsidP="00CC5A38">
      <w:pPr>
        <w:spacing w:after="0" w:line="240" w:lineRule="auto"/>
        <w:rPr>
          <w:rFonts w:eastAsiaTheme="minorEastAsia"/>
          <w:b/>
          <w:sz w:val="24"/>
          <w:szCs w:val="24"/>
        </w:rPr>
      </w:pPr>
      <w:r w:rsidRPr="00CC5A38">
        <w:rPr>
          <w:rFonts w:eastAsiaTheme="minorEastAsia"/>
          <w:b/>
          <w:sz w:val="24"/>
          <w:szCs w:val="24"/>
        </w:rPr>
        <w:t xml:space="preserve">Scholarship (2014 to present): </w:t>
      </w:r>
    </w:p>
    <w:p w:rsidR="00CC5A38" w:rsidRPr="00CC5A38" w:rsidRDefault="00CC5A38" w:rsidP="00CC5A38">
      <w:pPr>
        <w:numPr>
          <w:ilvl w:val="0"/>
          <w:numId w:val="3"/>
        </w:numPr>
        <w:spacing w:after="0" w:line="240" w:lineRule="auto"/>
        <w:rPr>
          <w:rFonts w:eastAsiaTheme="minorEastAsia"/>
          <w:i/>
          <w:sz w:val="24"/>
          <w:szCs w:val="24"/>
          <w:u w:val="single"/>
        </w:rPr>
      </w:pPr>
      <w:r w:rsidRPr="00CC5A38">
        <w:rPr>
          <w:rFonts w:eastAsiaTheme="minorEastAsia"/>
          <w:i/>
          <w:sz w:val="24"/>
          <w:szCs w:val="24"/>
          <w:u w:val="single"/>
        </w:rPr>
        <w:t xml:space="preserve">Scientific Presentations: 11 </w:t>
      </w:r>
    </w:p>
    <w:p w:rsidR="00CC5A38" w:rsidRPr="00CC5A38" w:rsidRDefault="00CC5A38" w:rsidP="00CC5A38">
      <w:pPr>
        <w:numPr>
          <w:ilvl w:val="0"/>
          <w:numId w:val="3"/>
        </w:numPr>
        <w:spacing w:after="0" w:line="240" w:lineRule="auto"/>
        <w:rPr>
          <w:rFonts w:eastAsiaTheme="minorEastAsia"/>
          <w:i/>
          <w:sz w:val="24"/>
          <w:szCs w:val="24"/>
          <w:u w:val="single"/>
        </w:rPr>
      </w:pPr>
      <w:r w:rsidRPr="00CC5A38">
        <w:rPr>
          <w:rFonts w:eastAsiaTheme="minorEastAsia"/>
          <w:i/>
          <w:sz w:val="24"/>
          <w:szCs w:val="24"/>
          <w:u w:val="single"/>
        </w:rPr>
        <w:t xml:space="preserve">International Presentations: 9 </w:t>
      </w:r>
    </w:p>
    <w:p w:rsidR="00CC5A38" w:rsidRPr="00CC5A38" w:rsidRDefault="00CC5A38" w:rsidP="00CC5A38">
      <w:pPr>
        <w:numPr>
          <w:ilvl w:val="0"/>
          <w:numId w:val="3"/>
        </w:numPr>
        <w:spacing w:after="0" w:line="240" w:lineRule="auto"/>
        <w:rPr>
          <w:rFonts w:eastAsiaTheme="minorEastAsia"/>
          <w:i/>
          <w:sz w:val="24"/>
          <w:szCs w:val="24"/>
          <w:u w:val="single"/>
        </w:rPr>
      </w:pPr>
      <w:r w:rsidRPr="00CC5A38">
        <w:rPr>
          <w:rFonts w:eastAsiaTheme="minorEastAsia"/>
          <w:i/>
          <w:noProof/>
          <w:sz w:val="24"/>
          <w:szCs w:val="24"/>
          <w:u w:val="single"/>
        </w:rPr>
        <mc:AlternateContent>
          <mc:Choice Requires="wps">
            <w:drawing>
              <wp:anchor distT="45720" distB="45720" distL="114300" distR="114300" simplePos="0" relativeHeight="251665408" behindDoc="0" locked="0" layoutInCell="1" allowOverlap="1" wp14:anchorId="74FF87CF" wp14:editId="0A09FB6D">
                <wp:simplePos x="0" y="0"/>
                <wp:positionH relativeFrom="column">
                  <wp:posOffset>3829050</wp:posOffset>
                </wp:positionH>
                <wp:positionV relativeFrom="paragraph">
                  <wp:posOffset>27940</wp:posOffset>
                </wp:positionV>
                <wp:extent cx="2466975" cy="647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647700"/>
                        </a:xfrm>
                        <a:prstGeom prst="rect">
                          <a:avLst/>
                        </a:prstGeom>
                        <a:solidFill>
                          <a:srgbClr val="FFFFFF"/>
                        </a:solidFill>
                        <a:ln w="9525">
                          <a:solidFill>
                            <a:srgbClr val="000000"/>
                          </a:solidFill>
                          <a:miter lim="800000"/>
                          <a:headEnd/>
                          <a:tailEnd/>
                        </a:ln>
                      </wps:spPr>
                      <wps:txbx>
                        <w:txbxContent>
                          <w:p w:rsidR="00CC5A38" w:rsidRDefault="00CC5A38" w:rsidP="00CC5A38">
                            <w:pPr>
                              <w:jc w:val="both"/>
                            </w:pPr>
                            <w:r>
                              <w:t>Brian McDonald provides extension information to Oregon public school grounds employees in Salem, 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FF87CF" id="_x0000_t202" coordsize="21600,21600" o:spt="202" path="m,l,21600r21600,l21600,xe">
                <v:stroke joinstyle="miter"/>
                <v:path gradientshapeok="t" o:connecttype="rect"/>
              </v:shapetype>
              <v:shape id="Text Box 2" o:spid="_x0000_s1026" type="#_x0000_t202" style="position:absolute;left:0;text-align:left;margin-left:301.5pt;margin-top:2.2pt;width:194.25pt;height:5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">
                <v:textbox>
                  <w:txbxContent>
                    <w:p w:rsidR="00CC5A38" w:rsidRDefault="00CC5A38" w:rsidP="00CC5A38">
                      <w:pPr>
                        <w:jc w:val="both"/>
                      </w:pPr>
                      <w:r>
                        <w:t>Brian McDonald provides extension information to Oregon public school grounds employees in Salem, OR</w:t>
                      </w:r>
                    </w:p>
                  </w:txbxContent>
                </v:textbox>
                <w10:wrap type="square"/>
              </v:shape>
            </w:pict>
          </mc:Fallback>
        </mc:AlternateContent>
      </w:r>
      <w:r w:rsidRPr="00CC5A38">
        <w:rPr>
          <w:rFonts w:eastAsiaTheme="minorEastAsia"/>
          <w:i/>
          <w:sz w:val="24"/>
          <w:szCs w:val="24"/>
          <w:u w:val="single"/>
        </w:rPr>
        <w:t>Peer Review Publications: 14</w:t>
      </w:r>
    </w:p>
    <w:p w:rsidR="00CC5A38" w:rsidRPr="00CC5A38" w:rsidRDefault="00CC5A38" w:rsidP="00CC5A38">
      <w:pPr>
        <w:numPr>
          <w:ilvl w:val="0"/>
          <w:numId w:val="3"/>
        </w:numPr>
        <w:spacing w:after="0" w:line="240" w:lineRule="auto"/>
        <w:rPr>
          <w:rFonts w:eastAsiaTheme="minorEastAsia"/>
          <w:i/>
          <w:sz w:val="24"/>
          <w:szCs w:val="24"/>
          <w:u w:val="single"/>
        </w:rPr>
      </w:pPr>
      <w:r w:rsidRPr="00CC5A38">
        <w:rPr>
          <w:rFonts w:eastAsiaTheme="minorEastAsia"/>
          <w:i/>
          <w:sz w:val="24"/>
          <w:szCs w:val="24"/>
          <w:u w:val="single"/>
        </w:rPr>
        <w:t>Scientific Abstracts: 9</w:t>
      </w:r>
    </w:p>
    <w:p w:rsidR="00CC5A38" w:rsidRPr="00CC5A38" w:rsidRDefault="00CC5A38" w:rsidP="00CC5A38">
      <w:pPr>
        <w:numPr>
          <w:ilvl w:val="0"/>
          <w:numId w:val="3"/>
        </w:numPr>
        <w:spacing w:after="0" w:line="240" w:lineRule="auto"/>
        <w:rPr>
          <w:rFonts w:eastAsiaTheme="minorEastAsia"/>
          <w:i/>
          <w:sz w:val="24"/>
          <w:szCs w:val="24"/>
          <w:u w:val="single"/>
        </w:rPr>
      </w:pPr>
      <w:r w:rsidRPr="00CC5A38">
        <w:rPr>
          <w:rFonts w:eastAsiaTheme="minorEastAsia"/>
          <w:i/>
          <w:sz w:val="24"/>
          <w:szCs w:val="24"/>
          <w:u w:val="single"/>
        </w:rPr>
        <w:t>Proceedings and Popular Press Articles: 28</w:t>
      </w:r>
    </w:p>
    <w:p w:rsidR="00CC5A38" w:rsidRPr="00CC5A38" w:rsidRDefault="00CC5A38" w:rsidP="00CC5A38">
      <w:pPr>
        <w:spacing w:after="0" w:line="240" w:lineRule="auto"/>
        <w:ind w:left="720"/>
        <w:rPr>
          <w:rFonts w:eastAsiaTheme="minorEastAsia"/>
          <w:i/>
          <w:sz w:val="24"/>
          <w:szCs w:val="24"/>
        </w:rPr>
      </w:pPr>
    </w:p>
    <w:p w:rsidR="00CC5A38" w:rsidRPr="00CC5A38" w:rsidRDefault="00CC5A38" w:rsidP="00CC5A38">
      <w:pPr>
        <w:spacing w:after="0" w:line="240" w:lineRule="auto"/>
        <w:jc w:val="both"/>
        <w:rPr>
          <w:rFonts w:eastAsiaTheme="minorEastAsia"/>
          <w:sz w:val="24"/>
          <w:szCs w:val="24"/>
        </w:rPr>
      </w:pPr>
      <w:r w:rsidRPr="00CC5A38">
        <w:rPr>
          <w:rFonts w:eastAsiaTheme="minorEastAsia"/>
          <w:sz w:val="24"/>
          <w:szCs w:val="24"/>
        </w:rPr>
        <w:t xml:space="preserve">Brian has been, and continues to be, a critical component to the scholastic achievements within the OSU Turf Program.  He has served as an author and coauthor for scientific and industry publications and presentation on a state, regional, nation and international level.   </w:t>
      </w:r>
    </w:p>
    <w:p w:rsidR="00CC5A38" w:rsidRPr="00CC5A38" w:rsidRDefault="00CC5A38" w:rsidP="00CC5A38">
      <w:pPr>
        <w:spacing w:after="0" w:line="240" w:lineRule="auto"/>
        <w:jc w:val="both"/>
        <w:rPr>
          <w:rFonts w:eastAsiaTheme="minorEastAsia"/>
          <w:sz w:val="24"/>
          <w:szCs w:val="24"/>
        </w:rPr>
      </w:pPr>
    </w:p>
    <w:p w:rsidR="00CC5A38" w:rsidRPr="00CC5A38" w:rsidRDefault="00CC5A38" w:rsidP="00CC5A38">
      <w:pPr>
        <w:spacing w:after="0" w:line="240" w:lineRule="auto"/>
        <w:rPr>
          <w:rFonts w:eastAsiaTheme="minorEastAsia"/>
          <w:b/>
          <w:sz w:val="24"/>
          <w:szCs w:val="24"/>
        </w:rPr>
      </w:pPr>
      <w:r w:rsidRPr="00CC5A38">
        <w:rPr>
          <w:rFonts w:eastAsiaTheme="minorEastAsia"/>
          <w:noProof/>
          <w:sz w:val="24"/>
          <w:szCs w:val="24"/>
        </w:rPr>
        <w:drawing>
          <wp:anchor distT="0" distB="0" distL="114300" distR="114300" simplePos="0" relativeHeight="251663360" behindDoc="1" locked="0" layoutInCell="1" allowOverlap="1" wp14:anchorId="3BFF3560" wp14:editId="48AF873B">
            <wp:simplePos x="0" y="0"/>
            <wp:positionH relativeFrom="column">
              <wp:posOffset>3446780</wp:posOffset>
            </wp:positionH>
            <wp:positionV relativeFrom="paragraph">
              <wp:posOffset>80010</wp:posOffset>
            </wp:positionV>
            <wp:extent cx="2708910" cy="1800225"/>
            <wp:effectExtent l="76200" t="76200" r="129540" b="142875"/>
            <wp:wrapTight wrapText="bothSides">
              <wp:wrapPolygon edited="0">
                <wp:start x="-304" y="-914"/>
                <wp:lineTo x="-608" y="-686"/>
                <wp:lineTo x="-608" y="22171"/>
                <wp:lineTo x="-304" y="23086"/>
                <wp:lineTo x="22177" y="23086"/>
                <wp:lineTo x="22481" y="21486"/>
                <wp:lineTo x="22481" y="2971"/>
                <wp:lineTo x="22177" y="-457"/>
                <wp:lineTo x="22177" y="-914"/>
                <wp:lineTo x="-304" y="-914"/>
              </wp:wrapPolygon>
            </wp:wrapTight>
            <wp:docPr id="11" name="Picture 11" descr="G:\_Genie Timeline(3)\0\C\Users\kowalewskia\Pictures\OSU 2012 to present\Golf Course Main. (HORT 418)\Setting cutting height Apr 2013\Mowing 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Genie Timeline(3)\0\C\Users\kowalewskia\Pictures\OSU 2012 to present\Golf Course Main. (HORT 418)\Setting cutting height Apr 2013\Mowing heigh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8910"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C5A38">
        <w:rPr>
          <w:rFonts w:eastAsiaTheme="minorEastAsia"/>
          <w:b/>
          <w:sz w:val="24"/>
          <w:szCs w:val="24"/>
        </w:rPr>
        <w:t xml:space="preserve">Course Laboratory Technician (2014 to present):  </w:t>
      </w:r>
    </w:p>
    <w:p w:rsidR="00CC5A38" w:rsidRPr="00CC5A38" w:rsidRDefault="00CC5A38" w:rsidP="00CC5A38">
      <w:pPr>
        <w:numPr>
          <w:ilvl w:val="0"/>
          <w:numId w:val="4"/>
        </w:numPr>
        <w:spacing w:after="0" w:line="240" w:lineRule="auto"/>
        <w:rPr>
          <w:rFonts w:eastAsiaTheme="minorEastAsia"/>
          <w:i/>
          <w:u w:val="single"/>
        </w:rPr>
      </w:pPr>
      <w:r w:rsidRPr="00CC5A38">
        <w:rPr>
          <w:rFonts w:eastAsiaTheme="minorEastAsia"/>
          <w:i/>
          <w:u w:val="single"/>
        </w:rPr>
        <w:t>Principles of Turfgrass Maintenance (HORT 314)</w:t>
      </w:r>
    </w:p>
    <w:p w:rsidR="00CC5A38" w:rsidRPr="00CC5A38" w:rsidRDefault="00CC5A38" w:rsidP="00CC5A38">
      <w:pPr>
        <w:numPr>
          <w:ilvl w:val="0"/>
          <w:numId w:val="4"/>
        </w:numPr>
        <w:spacing w:after="0" w:line="240" w:lineRule="auto"/>
        <w:rPr>
          <w:rFonts w:eastAsiaTheme="minorEastAsia"/>
          <w:i/>
          <w:u w:val="single"/>
        </w:rPr>
      </w:pPr>
      <w:r w:rsidRPr="00CC5A38">
        <w:rPr>
          <w:rFonts w:eastAsiaTheme="minorEastAsia"/>
          <w:i/>
          <w:u w:val="single"/>
        </w:rPr>
        <w:t>Grounds Irrigation (HORT 360)</w:t>
      </w:r>
    </w:p>
    <w:p w:rsidR="00CC5A38" w:rsidRPr="00CC5A38" w:rsidRDefault="00CC5A38" w:rsidP="00CC5A38">
      <w:pPr>
        <w:numPr>
          <w:ilvl w:val="0"/>
          <w:numId w:val="4"/>
        </w:numPr>
        <w:spacing w:after="0" w:line="240" w:lineRule="auto"/>
        <w:rPr>
          <w:rFonts w:eastAsiaTheme="minorEastAsia"/>
          <w:i/>
          <w:u w:val="single"/>
        </w:rPr>
      </w:pPr>
      <w:r w:rsidRPr="00CC5A38">
        <w:rPr>
          <w:rFonts w:eastAsiaTheme="minorEastAsia"/>
          <w:i/>
          <w:u w:val="single"/>
        </w:rPr>
        <w:t>Pesticide Applicator Training (HORT 405)</w:t>
      </w:r>
    </w:p>
    <w:p w:rsidR="00CC5A38" w:rsidRPr="00CC5A38" w:rsidRDefault="00CC5A38" w:rsidP="00CC5A38">
      <w:pPr>
        <w:numPr>
          <w:ilvl w:val="0"/>
          <w:numId w:val="4"/>
        </w:numPr>
        <w:spacing w:after="0" w:line="240" w:lineRule="auto"/>
        <w:rPr>
          <w:rFonts w:eastAsiaTheme="minorEastAsia"/>
          <w:i/>
          <w:u w:val="single"/>
        </w:rPr>
      </w:pPr>
      <w:r w:rsidRPr="00CC5A38">
        <w:rPr>
          <w:rFonts w:eastAsiaTheme="minorEastAsia"/>
          <w:i/>
          <w:u w:val="single"/>
        </w:rPr>
        <w:t>Golf Course Maintenance (HORT 418)</w:t>
      </w:r>
    </w:p>
    <w:p w:rsidR="00CC5A38" w:rsidRPr="00CC5A38" w:rsidRDefault="00CC5A38" w:rsidP="00CC5A38">
      <w:pPr>
        <w:spacing w:after="0" w:line="240" w:lineRule="auto"/>
        <w:ind w:left="720"/>
        <w:rPr>
          <w:rFonts w:eastAsiaTheme="minorEastAsia"/>
          <w:i/>
        </w:rPr>
      </w:pPr>
    </w:p>
    <w:p w:rsidR="00CC5A38" w:rsidRPr="00CC5A38" w:rsidRDefault="00CC5A38" w:rsidP="00CC5A38">
      <w:pPr>
        <w:spacing w:after="0" w:line="240" w:lineRule="auto"/>
        <w:jc w:val="both"/>
        <w:rPr>
          <w:rFonts w:eastAsiaTheme="minorEastAsia" w:cs="Calibri"/>
          <w:sz w:val="24"/>
          <w:szCs w:val="24"/>
        </w:rPr>
      </w:pPr>
      <w:r w:rsidRPr="00CC5A38">
        <w:rPr>
          <w:i/>
          <w:noProof/>
          <w:sz w:val="24"/>
          <w:szCs w:val="24"/>
          <w:u w:val="single"/>
        </w:rPr>
        <mc:AlternateContent>
          <mc:Choice Requires="wps">
            <w:drawing>
              <wp:anchor distT="45720" distB="45720" distL="114300" distR="114300" simplePos="0" relativeHeight="251666432" behindDoc="0" locked="0" layoutInCell="1" allowOverlap="1" wp14:anchorId="10E3B6BB" wp14:editId="0AE5E4AD">
                <wp:simplePos x="0" y="0"/>
                <wp:positionH relativeFrom="column">
                  <wp:posOffset>3343275</wp:posOffset>
                </wp:positionH>
                <wp:positionV relativeFrom="paragraph">
                  <wp:posOffset>742315</wp:posOffset>
                </wp:positionV>
                <wp:extent cx="2952750" cy="647700"/>
                <wp:effectExtent l="0" t="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647700"/>
                        </a:xfrm>
                        <a:prstGeom prst="rect">
                          <a:avLst/>
                        </a:prstGeom>
                        <a:solidFill>
                          <a:srgbClr val="FFFFFF"/>
                        </a:solidFill>
                        <a:ln w="9525">
                          <a:solidFill>
                            <a:srgbClr val="000000"/>
                          </a:solidFill>
                          <a:miter lim="800000"/>
                          <a:headEnd/>
                          <a:tailEnd/>
                        </a:ln>
                      </wps:spPr>
                      <wps:txbx>
                        <w:txbxContent>
                          <w:p w:rsidR="00CC5A38" w:rsidRDefault="00CC5A38" w:rsidP="00CC5A38">
                            <w:pPr>
                              <w:jc w:val="both"/>
                            </w:pPr>
                            <w:r>
                              <w:t xml:space="preserve">Brian McDonald teaches undergraduate student how to set the mowing height on a greens mower in Corvallis, 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3B6BB" id="Text Box 9" o:spid="_x0000_s1027" type="#_x0000_t202" style="position:absolute;left:0;text-align:left;margin-left:263.25pt;margin-top:58.45pt;width:232.5pt;height:5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">
                <v:textbox>
                  <w:txbxContent>
                    <w:p w:rsidR="00CC5A38" w:rsidRDefault="00CC5A38" w:rsidP="00CC5A38">
                      <w:pPr>
                        <w:jc w:val="both"/>
                      </w:pPr>
                      <w:r>
                        <w:t xml:space="preserve">Brian McDonald teaches undergraduate student how to set the mowing height on a greens mower in Corvallis, OR. </w:t>
                      </w:r>
                    </w:p>
                  </w:txbxContent>
                </v:textbox>
                <w10:wrap type="square"/>
              </v:shape>
            </w:pict>
          </mc:Fallback>
        </mc:AlternateContent>
      </w:r>
      <w:r w:rsidRPr="00CC5A38">
        <w:rPr>
          <w:rFonts w:eastAsiaTheme="minorEastAsia" w:cs="Calibri"/>
          <w:sz w:val="24"/>
          <w:szCs w:val="24"/>
        </w:rPr>
        <w:t xml:space="preserve">Brian regularly serves as a teaching assistant for the courses listed above.  Teaching responsibilities include, but are not limited to, equipment calibration and training, weekly budgeting laboratories, plant and weed identification, lectures on fungicides, herbicides and nozzle selection.   </w:t>
      </w:r>
    </w:p>
    <w:p w:rsidR="00CC5A38" w:rsidRPr="00CC5A38" w:rsidRDefault="00CC5A38" w:rsidP="00CC5A38">
      <w:pPr>
        <w:spacing w:after="0" w:line="240" w:lineRule="auto"/>
        <w:rPr>
          <w:rFonts w:eastAsiaTheme="minorEastAsia"/>
          <w:b/>
          <w:sz w:val="24"/>
          <w:szCs w:val="24"/>
        </w:rPr>
      </w:pPr>
    </w:p>
    <w:p w:rsidR="00CC5A38" w:rsidRPr="00CC5A38" w:rsidRDefault="00CC5A38" w:rsidP="00CC5A38">
      <w:pPr>
        <w:spacing w:after="0" w:line="240" w:lineRule="auto"/>
        <w:rPr>
          <w:rFonts w:eastAsiaTheme="minorEastAsia"/>
          <w:b/>
          <w:sz w:val="24"/>
          <w:szCs w:val="24"/>
        </w:rPr>
      </w:pPr>
    </w:p>
    <w:p w:rsidR="00CC5A38" w:rsidRPr="00CC5A38" w:rsidRDefault="00CC5A38" w:rsidP="00CC5A38">
      <w:pPr>
        <w:spacing w:after="0" w:line="240" w:lineRule="auto"/>
        <w:rPr>
          <w:rFonts w:eastAsiaTheme="minorEastAsia"/>
          <w:b/>
          <w:sz w:val="24"/>
          <w:szCs w:val="24"/>
        </w:rPr>
      </w:pPr>
      <w:r w:rsidRPr="00CC5A38">
        <w:rPr>
          <w:rFonts w:eastAsiaTheme="minorEastAsia"/>
          <w:b/>
          <w:sz w:val="24"/>
          <w:szCs w:val="24"/>
        </w:rPr>
        <w:lastRenderedPageBreak/>
        <w:t xml:space="preserve">Notable Research Projects (2014 to present):  </w:t>
      </w:r>
    </w:p>
    <w:p w:rsidR="00CC5A38" w:rsidRPr="00CC5A38" w:rsidRDefault="00CC5A38" w:rsidP="00CC5A38">
      <w:pPr>
        <w:spacing w:after="0" w:line="240" w:lineRule="auto"/>
        <w:rPr>
          <w:rFonts w:ascii="Calibri" w:eastAsia="Times New Roman" w:hAnsi="Calibri" w:cs="Times New Roman"/>
          <w:color w:val="000000"/>
        </w:rPr>
      </w:pPr>
      <w:r w:rsidRPr="00CC5A38">
        <w:rPr>
          <w:rFonts w:eastAsiaTheme="minorEastAsia"/>
        </w:rPr>
        <w:t>Brian McDonald has been heavily involved in the following competitive grants listed below (1-8).  He has drafted proposals, maintained plots, applied treatments, collected and analyzed data, and drafted reports for these projects.  Brian has also been responsible for another</w:t>
      </w:r>
      <w:r w:rsidRPr="00CC5A38">
        <w:rPr>
          <w:rFonts w:eastAsiaTheme="minorEastAsia"/>
          <w:color w:val="000000" w:themeColor="text1"/>
        </w:rPr>
        <w:t xml:space="preserve"> 60 i</w:t>
      </w:r>
      <w:r w:rsidRPr="00CC5A38">
        <w:rPr>
          <w:rFonts w:eastAsiaTheme="minorEastAsia"/>
        </w:rPr>
        <w:t xml:space="preserve">ndustry funded projects (not shown), which include, but are not limited to fertilizer, fungicide, herbicide, and wetting agent development and assessment. </w:t>
      </w:r>
    </w:p>
    <w:p w:rsidR="00CC5A38" w:rsidRPr="00CC5A38" w:rsidRDefault="00CC5A38" w:rsidP="00CC5A38">
      <w:pPr>
        <w:spacing w:after="0" w:line="240" w:lineRule="auto"/>
        <w:ind w:left="720"/>
        <w:jc w:val="both"/>
        <w:rPr>
          <w:rFonts w:eastAsiaTheme="minorEastAsia"/>
          <w:sz w:val="24"/>
          <w:szCs w:val="24"/>
        </w:rPr>
      </w:pPr>
    </w:p>
    <w:p w:rsidR="00CC5A38" w:rsidRPr="00CC5A38" w:rsidRDefault="00CC5A38" w:rsidP="00CC5A38">
      <w:pPr>
        <w:spacing w:after="0" w:line="240" w:lineRule="auto"/>
        <w:rPr>
          <w:rFonts w:eastAsia="Times New Roman" w:cs="Times New Roman"/>
          <w:bCs/>
          <w:color w:val="000000"/>
        </w:rPr>
      </w:pPr>
      <w:r w:rsidRPr="00CC5A38">
        <w:rPr>
          <w:rFonts w:eastAsia="Times New Roman" w:cs="Times New Roman"/>
          <w:b/>
          <w:bCs/>
          <w:color w:val="000000"/>
        </w:rPr>
        <w:t xml:space="preserve">1: </w:t>
      </w:r>
      <w:r w:rsidRPr="00CC5A38">
        <w:rPr>
          <w:rFonts w:eastAsiaTheme="minorEastAsia"/>
          <w:b/>
          <w:smallCaps/>
        </w:rPr>
        <w:t xml:space="preserve">Fungicide Alternative Management Practices for Microdochium Patch  </w:t>
      </w:r>
    </w:p>
    <w:p w:rsidR="00CC5A38" w:rsidRPr="00CC5A38" w:rsidRDefault="00CC5A38" w:rsidP="00CC5A38">
      <w:pPr>
        <w:spacing w:after="0" w:line="240" w:lineRule="auto"/>
        <w:rPr>
          <w:rFonts w:eastAsiaTheme="minorEastAsia"/>
          <w:b/>
        </w:rPr>
      </w:pPr>
      <w:r w:rsidRPr="00CC5A38">
        <w:rPr>
          <w:rFonts w:eastAsia="Times New Roman" w:cs="Times New Roman"/>
          <w:bCs/>
          <w:i/>
          <w:color w:val="000000"/>
          <w:u w:val="single"/>
        </w:rPr>
        <w:t>Objective:</w:t>
      </w:r>
      <w:r w:rsidRPr="00CC5A38">
        <w:rPr>
          <w:rFonts w:eastAsia="Times New Roman" w:cs="Times New Roman"/>
          <w:bCs/>
          <w:color w:val="000000"/>
        </w:rPr>
        <w:t xml:space="preserve"> Evaluate the Effects of Alternatives to Traditional Fungicides (such as rolling, fertility, crop </w:t>
      </w:r>
      <w:r w:rsidRPr="00CC5A38">
        <w:rPr>
          <w:rFonts w:eastAsia="Times New Roman" w:cs="Times New Roman"/>
          <w:bCs/>
          <w:color w:val="000000"/>
        </w:rPr>
        <w:tab/>
        <w:t>oil, pigments, and wetting agents) for Control of the Microdochium patch</w:t>
      </w:r>
    </w:p>
    <w:p w:rsidR="00CC5A38" w:rsidRPr="00CC5A38" w:rsidRDefault="00CC5A38" w:rsidP="00CC5A38">
      <w:pPr>
        <w:spacing w:after="0" w:line="240" w:lineRule="auto"/>
        <w:ind w:left="720" w:hanging="720"/>
        <w:rPr>
          <w:rFonts w:eastAsia="Times New Roman" w:cs="Times New Roman"/>
          <w:bCs/>
          <w:color w:val="000000"/>
        </w:rPr>
      </w:pPr>
      <w:r w:rsidRPr="00CC5A38">
        <w:rPr>
          <w:rFonts w:eastAsia="Times New Roman" w:cs="Times New Roman"/>
          <w:bCs/>
          <w:i/>
          <w:color w:val="000000"/>
          <w:u w:val="single"/>
        </w:rPr>
        <w:t>Funding Sources:</w:t>
      </w:r>
      <w:r w:rsidRPr="00CC5A38">
        <w:rPr>
          <w:rFonts w:eastAsia="Times New Roman" w:cs="Times New Roman"/>
          <w:bCs/>
          <w:i/>
          <w:color w:val="000000"/>
        </w:rPr>
        <w:t xml:space="preserve"> </w:t>
      </w:r>
      <w:r w:rsidRPr="00CC5A38">
        <w:rPr>
          <w:rFonts w:eastAsia="Times New Roman" w:cs="Times New Roman"/>
          <w:bCs/>
          <w:color w:val="000000"/>
        </w:rPr>
        <w:t xml:space="preserve">Golf Course Superintendents Association of America (GCSAA), Oregon Golf Course Superintendents Association (OGCSA), Northwest Turf Association (NTA), and Western Canada Turf Association (WCTA).    </w:t>
      </w:r>
    </w:p>
    <w:p w:rsidR="00CC5A38" w:rsidRPr="00CC5A38" w:rsidRDefault="00CC5A38" w:rsidP="00CC5A38">
      <w:pPr>
        <w:spacing w:after="0" w:line="240" w:lineRule="auto"/>
        <w:ind w:left="720" w:hanging="720"/>
        <w:rPr>
          <w:rFonts w:eastAsiaTheme="minorEastAsia"/>
          <w:b/>
        </w:rPr>
      </w:pPr>
    </w:p>
    <w:p w:rsidR="00CC5A38" w:rsidRPr="00CC5A38" w:rsidRDefault="00CC5A38" w:rsidP="00CC5A38">
      <w:pPr>
        <w:spacing w:after="0" w:line="240" w:lineRule="auto"/>
        <w:ind w:left="720" w:hanging="720"/>
        <w:rPr>
          <w:rFonts w:eastAsiaTheme="minorEastAsia"/>
          <w:b/>
        </w:rPr>
      </w:pPr>
      <w:r w:rsidRPr="00CC5A38">
        <w:rPr>
          <w:rFonts w:eastAsiaTheme="minorEastAsia"/>
          <w:b/>
        </w:rPr>
        <w:t xml:space="preserve">2: </w:t>
      </w:r>
      <w:r w:rsidRPr="00CC5A38">
        <w:rPr>
          <w:rFonts w:eastAsiaTheme="minorEastAsia"/>
          <w:b/>
          <w:smallCaps/>
        </w:rPr>
        <w:t>The Effects of Mowing Delay on Proxy Efficacy for Poa annua Seed Head Suppression</w:t>
      </w:r>
    </w:p>
    <w:p w:rsidR="00CC5A38" w:rsidRPr="00CC5A38" w:rsidRDefault="00CC5A38" w:rsidP="00CC5A38">
      <w:pPr>
        <w:spacing w:after="0" w:line="240" w:lineRule="auto"/>
        <w:ind w:left="720" w:hanging="720"/>
        <w:rPr>
          <w:rFonts w:eastAsiaTheme="minorEastAsia"/>
        </w:rPr>
      </w:pPr>
      <w:r w:rsidRPr="00CC5A38">
        <w:rPr>
          <w:rFonts w:eastAsiaTheme="minorEastAsia"/>
          <w:i/>
          <w:u w:val="single"/>
        </w:rPr>
        <w:t>Objective:</w:t>
      </w:r>
      <w:r w:rsidRPr="00CC5A38">
        <w:rPr>
          <w:rFonts w:eastAsiaTheme="minorEastAsia"/>
        </w:rPr>
        <w:t xml:space="preserve"> Determine if mowing delays prior to and following the application of Proxy will affect the seed head suppression of annual bluegrass during the spring flush</w:t>
      </w:r>
    </w:p>
    <w:p w:rsidR="00CC5A38" w:rsidRPr="00CC5A38" w:rsidRDefault="00CC5A38" w:rsidP="00CC5A38">
      <w:pPr>
        <w:spacing w:after="0" w:line="240" w:lineRule="auto"/>
        <w:ind w:left="720" w:hanging="720"/>
        <w:rPr>
          <w:rFonts w:eastAsiaTheme="minorEastAsia"/>
        </w:rPr>
      </w:pPr>
      <w:r w:rsidRPr="00CC5A38">
        <w:rPr>
          <w:rFonts w:eastAsiaTheme="minorEastAsia"/>
          <w:i/>
          <w:u w:val="single"/>
        </w:rPr>
        <w:t>Funding Source:</w:t>
      </w:r>
      <w:r w:rsidRPr="00CC5A38">
        <w:rPr>
          <w:rFonts w:eastAsiaTheme="minorEastAsia"/>
        </w:rPr>
        <w:t xml:space="preserve"> United States Golf Association (USGA)</w:t>
      </w:r>
    </w:p>
    <w:p w:rsidR="00CC5A38" w:rsidRPr="00CC5A38" w:rsidRDefault="00CC5A38" w:rsidP="00CC5A38">
      <w:pPr>
        <w:spacing w:after="0" w:line="240" w:lineRule="auto"/>
        <w:ind w:left="720" w:hanging="720"/>
        <w:rPr>
          <w:rFonts w:eastAsiaTheme="minorEastAsia"/>
          <w:b/>
        </w:rPr>
      </w:pPr>
    </w:p>
    <w:p w:rsidR="00CC5A38" w:rsidRPr="00CC5A38" w:rsidRDefault="00CC5A38" w:rsidP="00CC5A38">
      <w:pPr>
        <w:spacing w:after="0" w:line="240" w:lineRule="auto"/>
        <w:ind w:left="720" w:hanging="720"/>
        <w:rPr>
          <w:rFonts w:eastAsiaTheme="minorEastAsia"/>
          <w:b/>
        </w:rPr>
      </w:pPr>
      <w:r w:rsidRPr="00CC5A38">
        <w:rPr>
          <w:rFonts w:eastAsiaTheme="minorEastAsia"/>
          <w:b/>
        </w:rPr>
        <w:t xml:space="preserve">3: </w:t>
      </w:r>
      <w:r w:rsidRPr="00CC5A38">
        <w:rPr>
          <w:rFonts w:eastAsiaTheme="minorEastAsia"/>
          <w:b/>
          <w:smallCaps/>
        </w:rPr>
        <w:t>Effects of Sulfur, Calcium Source, and pH on Microdochium Patch</w:t>
      </w:r>
    </w:p>
    <w:p w:rsidR="00CC5A38" w:rsidRPr="00CC5A38" w:rsidRDefault="00CC5A38" w:rsidP="00CC5A38">
      <w:pPr>
        <w:spacing w:after="0" w:line="240" w:lineRule="auto"/>
        <w:rPr>
          <w:rFonts w:eastAsiaTheme="minorEastAsia"/>
          <w:b/>
        </w:rPr>
      </w:pPr>
      <w:r w:rsidRPr="00CC5A38">
        <w:rPr>
          <w:rFonts w:eastAsia="Times New Roman" w:cs="Times New Roman"/>
          <w:bCs/>
          <w:i/>
          <w:color w:val="000000"/>
          <w:u w:val="single"/>
        </w:rPr>
        <w:t>Objective:</w:t>
      </w:r>
      <w:r w:rsidRPr="00CC5A38">
        <w:rPr>
          <w:rFonts w:eastAsia="Times New Roman" w:cs="Times New Roman"/>
          <w:bCs/>
          <w:color w:val="000000"/>
        </w:rPr>
        <w:t xml:space="preserve"> </w:t>
      </w:r>
      <w:r w:rsidRPr="00CC5A38">
        <w:rPr>
          <w:rFonts w:eastAsiaTheme="minorEastAsia"/>
          <w:spacing w:val="-2"/>
        </w:rPr>
        <w:t xml:space="preserve">Determine if sulfur applied with and without various calcium sources can reduce the number </w:t>
      </w:r>
      <w:r w:rsidRPr="00CC5A38">
        <w:rPr>
          <w:rFonts w:eastAsiaTheme="minorEastAsia"/>
          <w:spacing w:val="-2"/>
        </w:rPr>
        <w:tab/>
        <w:t xml:space="preserve">of annual fungicide applications necessary to manage Microdochium patch </w:t>
      </w:r>
    </w:p>
    <w:p w:rsidR="00CC5A38" w:rsidRPr="00CC5A38" w:rsidRDefault="00CC5A38" w:rsidP="00CC5A38">
      <w:pPr>
        <w:spacing w:after="0" w:line="240" w:lineRule="auto"/>
        <w:rPr>
          <w:rFonts w:eastAsiaTheme="minorEastAsia"/>
          <w:b/>
        </w:rPr>
      </w:pPr>
      <w:r w:rsidRPr="00CC5A38">
        <w:rPr>
          <w:rFonts w:eastAsia="Times New Roman" w:cs="Times New Roman"/>
          <w:bCs/>
          <w:i/>
          <w:color w:val="000000"/>
          <w:u w:val="single"/>
        </w:rPr>
        <w:t>Funding Source:</w:t>
      </w:r>
      <w:r w:rsidRPr="00CC5A38">
        <w:rPr>
          <w:rFonts w:eastAsia="Times New Roman" w:cs="Times New Roman"/>
          <w:bCs/>
          <w:i/>
          <w:color w:val="000000"/>
        </w:rPr>
        <w:t xml:space="preserve"> </w:t>
      </w:r>
      <w:r w:rsidRPr="00CC5A38">
        <w:rPr>
          <w:rFonts w:eastAsia="Times New Roman" w:cs="Times New Roman"/>
          <w:bCs/>
          <w:color w:val="000000"/>
        </w:rPr>
        <w:t>United States Golf Association (USGA)</w:t>
      </w:r>
    </w:p>
    <w:p w:rsidR="00CC5A38" w:rsidRPr="00CC5A38" w:rsidRDefault="00CC5A38" w:rsidP="00CC5A38">
      <w:pPr>
        <w:spacing w:after="0" w:line="240" w:lineRule="auto"/>
        <w:ind w:left="720"/>
        <w:rPr>
          <w:rFonts w:eastAsiaTheme="minorEastAsia"/>
        </w:rPr>
      </w:pPr>
    </w:p>
    <w:p w:rsidR="00CC5A38" w:rsidRPr="00CC5A38" w:rsidRDefault="00CC5A38" w:rsidP="00CC5A38">
      <w:pPr>
        <w:spacing w:after="0" w:line="240" w:lineRule="auto"/>
        <w:ind w:left="720" w:hanging="720"/>
        <w:rPr>
          <w:rFonts w:eastAsiaTheme="minorEastAsia"/>
          <w:b/>
          <w:smallCaps/>
        </w:rPr>
      </w:pPr>
      <w:r w:rsidRPr="00CC5A38">
        <w:rPr>
          <w:rFonts w:eastAsiaTheme="minorEastAsia"/>
          <w:b/>
        </w:rPr>
        <w:t>5:</w:t>
      </w:r>
      <w:r w:rsidRPr="00CC5A38">
        <w:rPr>
          <w:rFonts w:eastAsiaTheme="minorEastAsia"/>
        </w:rPr>
        <w:t xml:space="preserve"> </w:t>
      </w:r>
      <w:r w:rsidRPr="00CC5A38">
        <w:rPr>
          <w:rFonts w:eastAsiaTheme="minorEastAsia"/>
          <w:b/>
          <w:smallCaps/>
        </w:rPr>
        <w:t xml:space="preserve">Winter Foot Traffic </w:t>
      </w:r>
    </w:p>
    <w:p w:rsidR="00CC5A38" w:rsidRPr="00CC5A38" w:rsidRDefault="00CC5A38" w:rsidP="00CC5A38">
      <w:pPr>
        <w:spacing w:after="0" w:line="240" w:lineRule="auto"/>
        <w:rPr>
          <w:rFonts w:eastAsiaTheme="minorEastAsia"/>
          <w:spacing w:val="-2"/>
        </w:rPr>
      </w:pPr>
      <w:r w:rsidRPr="00CC5A38">
        <w:rPr>
          <w:rFonts w:eastAsia="Times New Roman" w:cs="Times New Roman"/>
          <w:bCs/>
          <w:i/>
          <w:color w:val="000000"/>
          <w:u w:val="single"/>
        </w:rPr>
        <w:t>Objective:</w:t>
      </w:r>
      <w:r w:rsidRPr="00CC5A38">
        <w:rPr>
          <w:rFonts w:eastAsia="Times New Roman" w:cs="Times New Roman"/>
          <w:bCs/>
          <w:color w:val="000000"/>
        </w:rPr>
        <w:t xml:space="preserve"> </w:t>
      </w:r>
      <w:r w:rsidRPr="00CC5A38">
        <w:rPr>
          <w:rFonts w:eastAsiaTheme="minorEastAsia"/>
          <w:spacing w:val="-2"/>
        </w:rPr>
        <w:t xml:space="preserve">Evaluate the effects of winter foot traffic rates on an annual bluegrass putting green in </w:t>
      </w:r>
      <w:r w:rsidRPr="00CC5A38">
        <w:rPr>
          <w:rFonts w:eastAsiaTheme="minorEastAsia"/>
          <w:spacing w:val="-2"/>
        </w:rPr>
        <w:tab/>
        <w:t xml:space="preserve">Corvallis, OR.    </w:t>
      </w:r>
    </w:p>
    <w:p w:rsidR="00CC5A38" w:rsidRPr="00CC5A38" w:rsidRDefault="00CC5A38" w:rsidP="00CC5A38">
      <w:pPr>
        <w:spacing w:after="0" w:line="240" w:lineRule="auto"/>
        <w:rPr>
          <w:rFonts w:eastAsiaTheme="minorEastAsia"/>
          <w:b/>
          <w:smallCaps/>
        </w:rPr>
      </w:pPr>
      <w:r w:rsidRPr="00CC5A38">
        <w:rPr>
          <w:rFonts w:eastAsia="Times New Roman" w:cs="Times New Roman"/>
          <w:bCs/>
          <w:i/>
          <w:color w:val="000000"/>
          <w:u w:val="single"/>
        </w:rPr>
        <w:t>Funding Source:</w:t>
      </w:r>
      <w:r w:rsidRPr="00CC5A38">
        <w:rPr>
          <w:rFonts w:eastAsia="Times New Roman" w:cs="Times New Roman"/>
          <w:bCs/>
          <w:i/>
          <w:color w:val="000000"/>
        </w:rPr>
        <w:t xml:space="preserve"> </w:t>
      </w:r>
      <w:r w:rsidRPr="00CC5A38">
        <w:rPr>
          <w:rFonts w:eastAsia="Times New Roman" w:cs="Times New Roman"/>
          <w:bCs/>
          <w:color w:val="000000"/>
        </w:rPr>
        <w:t>United States Golf Association (USGA)</w:t>
      </w:r>
    </w:p>
    <w:p w:rsidR="00CC5A38" w:rsidRPr="00CC5A38" w:rsidRDefault="00CC5A38" w:rsidP="00CC5A38">
      <w:pPr>
        <w:spacing w:after="0" w:line="240" w:lineRule="auto"/>
        <w:rPr>
          <w:rFonts w:eastAsia="Times New Roman" w:cs="Times New Roman"/>
          <w:bCs/>
          <w:color w:val="000000"/>
        </w:rPr>
      </w:pPr>
    </w:p>
    <w:p w:rsidR="00CC5A38" w:rsidRPr="00CC5A38" w:rsidRDefault="00CC5A38" w:rsidP="00CC5A38">
      <w:pPr>
        <w:spacing w:after="0" w:line="240" w:lineRule="auto"/>
        <w:rPr>
          <w:rFonts w:ascii="Calibri" w:eastAsia="Times New Roman" w:hAnsi="Calibri" w:cs="Times New Roman"/>
          <w:b/>
          <w:smallCaps/>
          <w:color w:val="000000"/>
        </w:rPr>
      </w:pPr>
      <w:r w:rsidRPr="00CC5A38">
        <w:rPr>
          <w:rFonts w:ascii="Calibri" w:eastAsia="Times New Roman" w:hAnsi="Calibri" w:cs="Times New Roman"/>
          <w:b/>
          <w:smallCaps/>
          <w:color w:val="000000"/>
        </w:rPr>
        <w:t>6: National Low Input Cool-Season Trial</w:t>
      </w:r>
    </w:p>
    <w:p w:rsidR="00CC5A38" w:rsidRPr="00CC5A38" w:rsidRDefault="00CC5A38" w:rsidP="00CC5A38">
      <w:pPr>
        <w:spacing w:after="0" w:line="240" w:lineRule="auto"/>
        <w:rPr>
          <w:rFonts w:ascii="Calibri" w:eastAsia="Times New Roman" w:hAnsi="Calibri" w:cs="Times New Roman"/>
          <w:color w:val="000000"/>
        </w:rPr>
      </w:pPr>
      <w:r w:rsidRPr="00CC5A38">
        <w:rPr>
          <w:rFonts w:ascii="Calibri" w:eastAsia="Times New Roman" w:hAnsi="Calibri" w:cs="Times New Roman"/>
          <w:i/>
          <w:color w:val="000000"/>
          <w:u w:val="single"/>
        </w:rPr>
        <w:t>Objective:</w:t>
      </w:r>
      <w:r w:rsidRPr="00CC5A38">
        <w:rPr>
          <w:rFonts w:ascii="Calibri" w:eastAsia="Times New Roman" w:hAnsi="Calibri" w:cs="Times New Roman"/>
          <w:color w:val="000000"/>
        </w:rPr>
        <w:t xml:space="preserve"> Evaluate the seasonal tolerance and quality of various cool-season turfgrass genus and </w:t>
      </w:r>
      <w:r w:rsidRPr="00CC5A38">
        <w:rPr>
          <w:rFonts w:ascii="Calibri" w:eastAsia="Times New Roman" w:hAnsi="Calibri" w:cs="Times New Roman"/>
          <w:color w:val="000000"/>
        </w:rPr>
        <w:tab/>
        <w:t xml:space="preserve">species with minimal inputs (monthly mowing, and no irrigation or fertilization). </w:t>
      </w:r>
    </w:p>
    <w:p w:rsidR="00CC5A38" w:rsidRPr="00CC5A38" w:rsidRDefault="00CC5A38" w:rsidP="00CC5A38">
      <w:pPr>
        <w:spacing w:after="0" w:line="240" w:lineRule="auto"/>
        <w:rPr>
          <w:rFonts w:ascii="Calibri" w:eastAsia="Times New Roman" w:hAnsi="Calibri" w:cs="Times New Roman"/>
          <w:b/>
          <w:smallCaps/>
          <w:color w:val="000000"/>
        </w:rPr>
      </w:pPr>
      <w:r w:rsidRPr="00CC5A38">
        <w:rPr>
          <w:rFonts w:ascii="Calibri" w:eastAsia="Times New Roman" w:hAnsi="Calibri" w:cs="Times New Roman"/>
          <w:color w:val="000000"/>
          <w:u w:val="single"/>
        </w:rPr>
        <w:t>Funding Source:</w:t>
      </w:r>
      <w:r w:rsidRPr="00CC5A38">
        <w:rPr>
          <w:rFonts w:ascii="Calibri" w:eastAsia="Times New Roman" w:hAnsi="Calibri" w:cs="Times New Roman"/>
          <w:color w:val="000000"/>
        </w:rPr>
        <w:t xml:space="preserve"> National Turfgrass Evaluation Program (NTEP)</w:t>
      </w:r>
    </w:p>
    <w:p w:rsidR="00CC5A38" w:rsidRPr="00CC5A38" w:rsidRDefault="00CC5A38" w:rsidP="00CC5A38">
      <w:pPr>
        <w:spacing w:after="0" w:line="240" w:lineRule="auto"/>
        <w:rPr>
          <w:rFonts w:ascii="Calibri" w:eastAsia="Times New Roman" w:hAnsi="Calibri" w:cs="Times New Roman"/>
          <w:smallCaps/>
          <w:color w:val="000000"/>
        </w:rPr>
      </w:pPr>
    </w:p>
    <w:p w:rsidR="00CC5A38" w:rsidRPr="00CC5A38" w:rsidRDefault="00CC5A38" w:rsidP="00CC5A38">
      <w:pPr>
        <w:spacing w:after="0" w:line="240" w:lineRule="auto"/>
        <w:rPr>
          <w:rFonts w:ascii="Calibri" w:eastAsia="Times New Roman" w:hAnsi="Calibri" w:cs="Times New Roman"/>
          <w:b/>
          <w:bCs/>
          <w:smallCaps/>
          <w:color w:val="000000"/>
        </w:rPr>
      </w:pPr>
      <w:r w:rsidRPr="00CC5A38">
        <w:rPr>
          <w:rFonts w:ascii="Calibri" w:eastAsia="Times New Roman" w:hAnsi="Calibri" w:cs="Times New Roman"/>
          <w:b/>
          <w:bCs/>
          <w:smallCaps/>
          <w:color w:val="000000"/>
        </w:rPr>
        <w:t>7: National Fine Fescue Traffic Trial</w:t>
      </w:r>
    </w:p>
    <w:p w:rsidR="00CC5A38" w:rsidRPr="00CC5A38" w:rsidRDefault="00CC5A38" w:rsidP="00CC5A38">
      <w:pPr>
        <w:spacing w:after="0" w:line="240" w:lineRule="auto"/>
        <w:rPr>
          <w:rFonts w:ascii="Calibri" w:eastAsia="Times New Roman" w:hAnsi="Calibri" w:cs="Times New Roman"/>
          <w:color w:val="000000"/>
        </w:rPr>
      </w:pPr>
      <w:r w:rsidRPr="00CC5A38">
        <w:rPr>
          <w:rFonts w:ascii="Calibri" w:eastAsia="Times New Roman" w:hAnsi="Calibri" w:cs="Times New Roman"/>
          <w:i/>
          <w:color w:val="000000"/>
          <w:u w:val="single"/>
        </w:rPr>
        <w:t>Objective:</w:t>
      </w:r>
      <w:r w:rsidRPr="00CC5A38">
        <w:rPr>
          <w:rFonts w:ascii="Calibri" w:eastAsia="Times New Roman" w:hAnsi="Calibri" w:cs="Times New Roman"/>
          <w:color w:val="000000"/>
        </w:rPr>
        <w:t xml:space="preserve">  Evaluate the traffic tolerance of commercially available and experimental fine fescue </w:t>
      </w:r>
      <w:r w:rsidRPr="00CC5A38">
        <w:rPr>
          <w:rFonts w:ascii="Calibri" w:eastAsia="Times New Roman" w:hAnsi="Calibri" w:cs="Times New Roman"/>
          <w:color w:val="000000"/>
        </w:rPr>
        <w:tab/>
        <w:t xml:space="preserve">(creeping, chewings, sheep, slender and hard fescue) cultivars. </w:t>
      </w:r>
    </w:p>
    <w:p w:rsidR="00CC5A38" w:rsidRPr="00CC5A38" w:rsidRDefault="00CC5A38" w:rsidP="00CC5A38">
      <w:pPr>
        <w:spacing w:after="0" w:line="240" w:lineRule="auto"/>
        <w:rPr>
          <w:rFonts w:ascii="Calibri" w:eastAsia="Times New Roman" w:hAnsi="Calibri" w:cs="Times New Roman"/>
          <w:color w:val="000000"/>
        </w:rPr>
      </w:pPr>
      <w:r w:rsidRPr="00CC5A38">
        <w:rPr>
          <w:rFonts w:ascii="Calibri" w:eastAsia="Times New Roman" w:hAnsi="Calibri" w:cs="Times New Roman"/>
          <w:i/>
          <w:color w:val="000000"/>
          <w:u w:val="single"/>
        </w:rPr>
        <w:t>Funding Source:</w:t>
      </w:r>
      <w:r w:rsidRPr="00CC5A38">
        <w:rPr>
          <w:rFonts w:ascii="Calibri" w:eastAsia="Times New Roman" w:hAnsi="Calibri" w:cs="Times New Roman"/>
          <w:color w:val="000000"/>
        </w:rPr>
        <w:t xml:space="preserve">  National Turfgrass Evaluation Program (NTEP)</w:t>
      </w:r>
    </w:p>
    <w:p w:rsidR="00CC5A38" w:rsidRPr="00CC5A38" w:rsidRDefault="00CC5A38" w:rsidP="00CC5A38">
      <w:pPr>
        <w:spacing w:after="0" w:line="240" w:lineRule="auto"/>
        <w:rPr>
          <w:rFonts w:ascii="Calibri" w:eastAsia="Times New Roman" w:hAnsi="Calibri" w:cs="Times New Roman"/>
          <w:b/>
          <w:bCs/>
          <w:smallCaps/>
          <w:color w:val="000000"/>
        </w:rPr>
      </w:pPr>
    </w:p>
    <w:p w:rsidR="00CC5A38" w:rsidRPr="00CC5A38" w:rsidRDefault="00CC5A38" w:rsidP="00CC5A38">
      <w:pPr>
        <w:spacing w:after="0" w:line="240" w:lineRule="auto"/>
        <w:rPr>
          <w:rFonts w:ascii="Calibri" w:eastAsia="Times New Roman" w:hAnsi="Calibri" w:cs="Times New Roman"/>
          <w:b/>
          <w:bCs/>
          <w:smallCaps/>
          <w:color w:val="000000"/>
        </w:rPr>
      </w:pPr>
      <w:r w:rsidRPr="00CC5A38">
        <w:rPr>
          <w:rFonts w:ascii="Calibri" w:eastAsia="Times New Roman" w:hAnsi="Calibri" w:cs="Times New Roman"/>
          <w:b/>
          <w:bCs/>
          <w:smallCaps/>
          <w:color w:val="000000"/>
        </w:rPr>
        <w:t xml:space="preserve">8: National Perennial Ryegrass Trial </w:t>
      </w:r>
    </w:p>
    <w:p w:rsidR="00CC5A38" w:rsidRPr="00CC5A38" w:rsidRDefault="00CC5A38" w:rsidP="00CC5A38">
      <w:pPr>
        <w:spacing w:after="0" w:line="240" w:lineRule="auto"/>
        <w:rPr>
          <w:rFonts w:ascii="Calibri" w:eastAsia="Times New Roman" w:hAnsi="Calibri" w:cs="Times New Roman"/>
          <w:color w:val="000000"/>
        </w:rPr>
      </w:pPr>
      <w:r w:rsidRPr="00CC5A38">
        <w:rPr>
          <w:rFonts w:ascii="Calibri" w:eastAsia="Times New Roman" w:hAnsi="Calibri" w:cs="Times New Roman"/>
          <w:i/>
          <w:color w:val="000000"/>
          <w:u w:val="single"/>
        </w:rPr>
        <w:t>Objective:</w:t>
      </w:r>
      <w:r w:rsidRPr="00CC5A38">
        <w:rPr>
          <w:rFonts w:ascii="Calibri" w:eastAsia="Times New Roman" w:hAnsi="Calibri" w:cs="Times New Roman"/>
          <w:color w:val="000000"/>
        </w:rPr>
        <w:t xml:space="preserve">  Evaluate the health and quality of commercially available and experimental perennial </w:t>
      </w:r>
      <w:r w:rsidRPr="00CC5A38">
        <w:rPr>
          <w:rFonts w:ascii="Calibri" w:eastAsia="Times New Roman" w:hAnsi="Calibri" w:cs="Times New Roman"/>
          <w:color w:val="000000"/>
        </w:rPr>
        <w:tab/>
        <w:t>ryegrass cultivars.</w:t>
      </w:r>
    </w:p>
    <w:p w:rsidR="00CD3A4B" w:rsidRPr="00CC5A38" w:rsidRDefault="00CC5A38" w:rsidP="00CC5A38">
      <w:pPr>
        <w:spacing w:after="0" w:line="240" w:lineRule="auto"/>
        <w:rPr>
          <w:rFonts w:ascii="Calibri" w:eastAsia="Times New Roman" w:hAnsi="Calibri" w:cs="Times New Roman"/>
          <w:b/>
          <w:bCs/>
          <w:smallCaps/>
          <w:color w:val="000000"/>
        </w:rPr>
      </w:pPr>
      <w:r w:rsidRPr="00CC5A38">
        <w:rPr>
          <w:rFonts w:ascii="Calibri" w:eastAsia="Times New Roman" w:hAnsi="Calibri" w:cs="Times New Roman"/>
          <w:i/>
          <w:color w:val="000000"/>
          <w:u w:val="single"/>
        </w:rPr>
        <w:t>Funding Source:</w:t>
      </w:r>
      <w:r w:rsidRPr="00CC5A38">
        <w:rPr>
          <w:rFonts w:ascii="Calibri" w:eastAsia="Times New Roman" w:hAnsi="Calibri" w:cs="Times New Roman"/>
          <w:color w:val="000000"/>
        </w:rPr>
        <w:t xml:space="preserve"> National Turfgrass Evaluation Program (NTEP)</w:t>
      </w:r>
    </w:p>
    <w:sectPr w:rsidR="00CD3A4B" w:rsidRPr="00CC5A38">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DC6" w:rsidRDefault="003A5DC6" w:rsidP="00BC11E0">
      <w:pPr>
        <w:spacing w:after="0" w:line="240" w:lineRule="auto"/>
      </w:pPr>
      <w:r>
        <w:separator/>
      </w:r>
    </w:p>
  </w:endnote>
  <w:endnote w:type="continuationSeparator" w:id="0">
    <w:p w:rsidR="003A5DC6" w:rsidRDefault="003A5DC6" w:rsidP="00BC1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8348673"/>
      <w:docPartObj>
        <w:docPartGallery w:val="Page Numbers (Bottom of Page)"/>
        <w:docPartUnique/>
      </w:docPartObj>
    </w:sdtPr>
    <w:sdtEndPr>
      <w:rPr>
        <w:noProof/>
      </w:rPr>
    </w:sdtEndPr>
    <w:sdtContent>
      <w:p w:rsidR="00BC11E0" w:rsidRDefault="00BC11E0">
        <w:pPr>
          <w:pStyle w:val="Footer"/>
          <w:jc w:val="center"/>
        </w:pPr>
        <w:r>
          <w:fldChar w:fldCharType="begin"/>
        </w:r>
        <w:r>
          <w:instrText xml:space="preserve"> PAGE   \* MERGEFORMAT </w:instrText>
        </w:r>
        <w:r>
          <w:fldChar w:fldCharType="separate"/>
        </w:r>
        <w:r w:rsidR="00994F2A">
          <w:rPr>
            <w:noProof/>
          </w:rPr>
          <w:t>15</w:t>
        </w:r>
        <w:r>
          <w:rPr>
            <w:noProof/>
          </w:rPr>
          <w:fldChar w:fldCharType="end"/>
        </w:r>
      </w:p>
    </w:sdtContent>
  </w:sdt>
  <w:p w:rsidR="00BC11E0" w:rsidRDefault="00BC11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DC6" w:rsidRDefault="003A5DC6" w:rsidP="00BC11E0">
      <w:pPr>
        <w:spacing w:after="0" w:line="240" w:lineRule="auto"/>
      </w:pPr>
      <w:r>
        <w:separator/>
      </w:r>
    </w:p>
  </w:footnote>
  <w:footnote w:type="continuationSeparator" w:id="0">
    <w:p w:rsidR="003A5DC6" w:rsidRDefault="003A5DC6" w:rsidP="00BC11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D3886"/>
    <w:multiLevelType w:val="hybridMultilevel"/>
    <w:tmpl w:val="E654A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1F4FAE"/>
    <w:multiLevelType w:val="hybridMultilevel"/>
    <w:tmpl w:val="7E58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F25BDA"/>
    <w:multiLevelType w:val="hybridMultilevel"/>
    <w:tmpl w:val="0D689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023045"/>
    <w:multiLevelType w:val="hybridMultilevel"/>
    <w:tmpl w:val="6EB81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27722B"/>
    <w:multiLevelType w:val="hybridMultilevel"/>
    <w:tmpl w:val="368E3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7F3390"/>
    <w:multiLevelType w:val="hybridMultilevel"/>
    <w:tmpl w:val="BCCC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9E3490"/>
    <w:multiLevelType w:val="hybridMultilevel"/>
    <w:tmpl w:val="090C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6"/>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61E"/>
    <w:rsid w:val="0002215C"/>
    <w:rsid w:val="00081CDE"/>
    <w:rsid w:val="000F7BD0"/>
    <w:rsid w:val="001E2D6D"/>
    <w:rsid w:val="0022461E"/>
    <w:rsid w:val="002B07E5"/>
    <w:rsid w:val="002B10BF"/>
    <w:rsid w:val="002B15ED"/>
    <w:rsid w:val="00320892"/>
    <w:rsid w:val="0035611A"/>
    <w:rsid w:val="003A5DC6"/>
    <w:rsid w:val="0055117D"/>
    <w:rsid w:val="00560A71"/>
    <w:rsid w:val="005E0BEC"/>
    <w:rsid w:val="00640455"/>
    <w:rsid w:val="00672B31"/>
    <w:rsid w:val="00994F2A"/>
    <w:rsid w:val="00B53BC9"/>
    <w:rsid w:val="00BC11E0"/>
    <w:rsid w:val="00C34062"/>
    <w:rsid w:val="00CA7BC1"/>
    <w:rsid w:val="00CC5A38"/>
    <w:rsid w:val="00CD3A4B"/>
    <w:rsid w:val="00E53CA4"/>
    <w:rsid w:val="00F6788B"/>
    <w:rsid w:val="00F75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548FCC-35B9-4769-B285-9607B02CA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0A71"/>
    <w:pPr>
      <w:spacing w:after="0" w:line="240" w:lineRule="auto"/>
    </w:pPr>
  </w:style>
  <w:style w:type="character" w:styleId="Hyperlink">
    <w:name w:val="Hyperlink"/>
    <w:basedOn w:val="DefaultParagraphFont"/>
    <w:uiPriority w:val="99"/>
    <w:unhideWhenUsed/>
    <w:rsid w:val="00320892"/>
    <w:rPr>
      <w:color w:val="0563C1" w:themeColor="hyperlink"/>
      <w:u w:val="single"/>
    </w:rPr>
  </w:style>
  <w:style w:type="paragraph" w:styleId="Header">
    <w:name w:val="header"/>
    <w:basedOn w:val="Normal"/>
    <w:link w:val="HeaderChar"/>
    <w:uiPriority w:val="99"/>
    <w:unhideWhenUsed/>
    <w:rsid w:val="00BC11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1E0"/>
  </w:style>
  <w:style w:type="paragraph" w:styleId="Footer">
    <w:name w:val="footer"/>
    <w:basedOn w:val="Normal"/>
    <w:link w:val="FooterChar"/>
    <w:uiPriority w:val="99"/>
    <w:unhideWhenUsed/>
    <w:rsid w:val="00BC11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1E0"/>
  </w:style>
  <w:style w:type="paragraph" w:styleId="ListParagraph">
    <w:name w:val="List Paragraph"/>
    <w:basedOn w:val="Normal"/>
    <w:uiPriority w:val="34"/>
    <w:qFormat/>
    <w:rsid w:val="009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an.McDonald@oregonstate.edu" TargetMode="Externa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Alec.Kowalewski@oregonstate.edu" TargetMode="Externa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15</Pages>
  <Words>2572</Words>
  <Characters>14665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Kowalewski, Alec - HORT</dc:creator>
  <cp:keywords/>
  <dc:description/>
  <cp:lastModifiedBy>Kowalewski, Alec - HORT</cp:lastModifiedBy>
  <cp:revision>5</cp:revision>
  <dcterms:created xsi:type="dcterms:W3CDTF">2017-03-01T23:04:00Z</dcterms:created>
  <dcterms:modified xsi:type="dcterms:W3CDTF">2017-03-03T19:18:00Z</dcterms:modified>
</cp:coreProperties>
</file>